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6A2F" w:rsidRPr="008A6A2F" w:rsidRDefault="008A6A2F" w:rsidP="008A6A2F">
      <w:pPr>
        <w:shd w:val="clear" w:color="auto" w:fill="FFFFFF" w:themeFill="background1"/>
        <w:spacing w:after="0" w:line="240" w:lineRule="auto"/>
        <w:jc w:val="center"/>
        <w:rPr>
          <w:rFonts w:ascii="Garamond" w:hAnsi="Garamond"/>
          <w:bCs/>
          <w:sz w:val="36"/>
          <w:szCs w:val="22"/>
        </w:rPr>
      </w:pPr>
      <w:r w:rsidRPr="008A6A2F">
        <w:rPr>
          <w:rFonts w:ascii="Garamond" w:hAnsi="Garamond"/>
          <w:bCs/>
          <w:sz w:val="36"/>
          <w:szCs w:val="22"/>
        </w:rPr>
        <w:t>PROJEKT</w:t>
      </w:r>
    </w:p>
    <w:p w:rsidR="008A6A2F" w:rsidRDefault="008A6A2F" w:rsidP="008A6A2F">
      <w:pPr>
        <w:shd w:val="clear" w:color="auto" w:fill="FFFFFF" w:themeFill="background1"/>
        <w:spacing w:after="0" w:line="240" w:lineRule="auto"/>
        <w:jc w:val="center"/>
        <w:rPr>
          <w:rFonts w:ascii="Garamond" w:hAnsi="Garamond"/>
          <w:b/>
          <w:bCs/>
          <w:sz w:val="40"/>
          <w:szCs w:val="22"/>
        </w:rPr>
      </w:pPr>
      <w:r>
        <w:rPr>
          <w:rFonts w:ascii="Garamond" w:hAnsi="Garamond"/>
          <w:b/>
          <w:bCs/>
          <w:sz w:val="40"/>
          <w:szCs w:val="22"/>
        </w:rPr>
        <w:t>……………………</w:t>
      </w:r>
    </w:p>
    <w:p w:rsidR="008A6A2F" w:rsidRPr="008A6A2F" w:rsidRDefault="008A6A2F" w:rsidP="008A6A2F">
      <w:pPr>
        <w:shd w:val="clear" w:color="auto" w:fill="FFFFFF" w:themeFill="background1"/>
        <w:spacing w:after="0" w:line="240" w:lineRule="auto"/>
        <w:jc w:val="center"/>
        <w:rPr>
          <w:rFonts w:ascii="Garamond" w:hAnsi="Garamond"/>
          <w:b/>
          <w:bCs/>
          <w:sz w:val="28"/>
          <w:szCs w:val="22"/>
        </w:rPr>
      </w:pPr>
    </w:p>
    <w:p w:rsidR="008A6A2F" w:rsidRDefault="008A6A2F" w:rsidP="008A6A2F">
      <w:pPr>
        <w:shd w:val="clear" w:color="auto" w:fill="FFFFFF" w:themeFill="background1"/>
        <w:spacing w:after="0" w:line="240" w:lineRule="auto"/>
        <w:jc w:val="center"/>
        <w:rPr>
          <w:rFonts w:ascii="Garamond" w:hAnsi="Garamond"/>
          <w:b/>
          <w:bCs/>
          <w:sz w:val="48"/>
          <w:szCs w:val="22"/>
        </w:rPr>
      </w:pPr>
      <w:r w:rsidRPr="008A6A2F">
        <w:rPr>
          <w:rFonts w:ascii="Garamond" w:hAnsi="Garamond"/>
          <w:b/>
          <w:bCs/>
          <w:sz w:val="48"/>
          <w:szCs w:val="22"/>
        </w:rPr>
        <w:t xml:space="preserve">LOKALNA STRATEGIA ROZWOJU </w:t>
      </w:r>
      <w:r w:rsidRPr="008A6A2F">
        <w:rPr>
          <w:rFonts w:ascii="Garamond" w:hAnsi="Garamond"/>
          <w:b/>
          <w:bCs/>
          <w:sz w:val="48"/>
          <w:szCs w:val="22"/>
        </w:rPr>
        <w:br/>
      </w:r>
      <w:r>
        <w:rPr>
          <w:rFonts w:ascii="Garamond" w:hAnsi="Garamond"/>
          <w:b/>
          <w:bCs/>
          <w:sz w:val="48"/>
          <w:szCs w:val="22"/>
        </w:rPr>
        <w:t xml:space="preserve">na lata </w:t>
      </w:r>
      <w:r w:rsidRPr="008A6A2F">
        <w:rPr>
          <w:rFonts w:ascii="Garamond" w:hAnsi="Garamond"/>
          <w:b/>
          <w:bCs/>
          <w:sz w:val="48"/>
          <w:szCs w:val="22"/>
        </w:rPr>
        <w:t>2014-2020</w:t>
      </w:r>
    </w:p>
    <w:p w:rsidR="008A6A2F" w:rsidRPr="008A6A2F" w:rsidRDefault="008A6A2F" w:rsidP="008A6A2F">
      <w:pPr>
        <w:shd w:val="clear" w:color="auto" w:fill="FFFFFF" w:themeFill="background1"/>
        <w:spacing w:after="0" w:line="240" w:lineRule="auto"/>
        <w:jc w:val="center"/>
        <w:rPr>
          <w:rFonts w:ascii="Garamond" w:hAnsi="Garamond"/>
          <w:b/>
          <w:bCs/>
          <w:sz w:val="8"/>
          <w:szCs w:val="22"/>
        </w:rPr>
      </w:pPr>
    </w:p>
    <w:p w:rsidR="008A6A2F" w:rsidRPr="008A6A2F" w:rsidRDefault="008A6A2F" w:rsidP="008A6A2F">
      <w:pPr>
        <w:shd w:val="clear" w:color="auto" w:fill="FFFFFF" w:themeFill="background1"/>
        <w:spacing w:after="0" w:line="240" w:lineRule="auto"/>
        <w:jc w:val="center"/>
        <w:rPr>
          <w:rFonts w:ascii="Garamond" w:hAnsi="Garamond"/>
          <w:b/>
          <w:bCs/>
          <w:sz w:val="32"/>
          <w:szCs w:val="22"/>
        </w:rPr>
      </w:pPr>
      <w:r w:rsidRPr="008A6A2F">
        <w:rPr>
          <w:rFonts w:ascii="Garamond" w:hAnsi="Garamond"/>
          <w:b/>
          <w:bCs/>
          <w:sz w:val="32"/>
          <w:szCs w:val="22"/>
        </w:rPr>
        <w:t xml:space="preserve">dla obszaru </w:t>
      </w:r>
      <w:r>
        <w:rPr>
          <w:rFonts w:ascii="Garamond" w:hAnsi="Garamond"/>
          <w:b/>
          <w:bCs/>
          <w:sz w:val="32"/>
          <w:szCs w:val="22"/>
        </w:rPr>
        <w:t>funkcjonowani</w:t>
      </w:r>
      <w:r w:rsidRPr="008A6A2F">
        <w:rPr>
          <w:rFonts w:ascii="Garamond" w:hAnsi="Garamond"/>
          <w:b/>
          <w:bCs/>
          <w:sz w:val="32"/>
          <w:szCs w:val="22"/>
        </w:rPr>
        <w:t xml:space="preserve">a </w:t>
      </w:r>
    </w:p>
    <w:p w:rsidR="008A6A2F" w:rsidRPr="008A6A2F" w:rsidRDefault="008A6A2F" w:rsidP="008A6A2F">
      <w:pPr>
        <w:shd w:val="clear" w:color="auto" w:fill="FFFFFF" w:themeFill="background1"/>
        <w:spacing w:after="0" w:line="240" w:lineRule="auto"/>
        <w:jc w:val="center"/>
        <w:rPr>
          <w:rFonts w:ascii="Garamond" w:hAnsi="Garamond"/>
          <w:b/>
          <w:sz w:val="32"/>
          <w:szCs w:val="22"/>
        </w:rPr>
      </w:pPr>
      <w:r w:rsidRPr="008A6A2F">
        <w:rPr>
          <w:rFonts w:ascii="Garamond" w:hAnsi="Garamond"/>
          <w:b/>
          <w:bCs/>
          <w:sz w:val="32"/>
          <w:szCs w:val="22"/>
        </w:rPr>
        <w:t xml:space="preserve">Stowarzyszenia </w:t>
      </w:r>
      <w:proofErr w:type="spellStart"/>
      <w:r w:rsidRPr="008A6A2F">
        <w:rPr>
          <w:rFonts w:ascii="Garamond" w:hAnsi="Garamond"/>
          <w:b/>
          <w:bCs/>
          <w:sz w:val="32"/>
          <w:szCs w:val="22"/>
        </w:rPr>
        <w:t>Północnokaszubska</w:t>
      </w:r>
      <w:proofErr w:type="spellEnd"/>
      <w:r w:rsidRPr="008A6A2F">
        <w:rPr>
          <w:rFonts w:ascii="Garamond" w:hAnsi="Garamond"/>
          <w:b/>
          <w:bCs/>
          <w:sz w:val="32"/>
          <w:szCs w:val="22"/>
        </w:rPr>
        <w:t xml:space="preserve"> Lokalna Grupa Rybacka</w:t>
      </w:r>
    </w:p>
    <w:p w:rsidR="008A6A2F" w:rsidRDefault="008A6A2F" w:rsidP="008A6A2F">
      <w:pPr>
        <w:shd w:val="clear" w:color="auto" w:fill="FFFFFF" w:themeFill="background1"/>
        <w:spacing w:after="0" w:line="240" w:lineRule="auto"/>
        <w:rPr>
          <w:rFonts w:ascii="Garamond" w:hAnsi="Garamond"/>
          <w:b/>
          <w:sz w:val="22"/>
          <w:szCs w:val="22"/>
        </w:rPr>
      </w:pPr>
    </w:p>
    <w:p w:rsidR="008A6A2F" w:rsidRDefault="008A6A2F" w:rsidP="008A6A2F">
      <w:pPr>
        <w:shd w:val="clear" w:color="auto" w:fill="FFFFFF" w:themeFill="background1"/>
        <w:spacing w:after="0" w:line="240" w:lineRule="auto"/>
        <w:rPr>
          <w:rFonts w:ascii="Garamond" w:hAnsi="Garamond"/>
          <w:b/>
          <w:sz w:val="22"/>
          <w:szCs w:val="22"/>
        </w:rPr>
      </w:pPr>
    </w:p>
    <w:p w:rsidR="008A6A2F" w:rsidRDefault="008A6A2F" w:rsidP="008A6A2F">
      <w:pPr>
        <w:shd w:val="clear" w:color="auto" w:fill="FFFFFF" w:themeFill="background1"/>
        <w:spacing w:after="0" w:line="240" w:lineRule="auto"/>
        <w:rPr>
          <w:rFonts w:ascii="Garamond" w:hAnsi="Garamond"/>
          <w:b/>
          <w:sz w:val="22"/>
          <w:szCs w:val="22"/>
        </w:rPr>
      </w:pPr>
    </w:p>
    <w:p w:rsidR="008A6A2F" w:rsidRDefault="008A6A2F" w:rsidP="008A6A2F">
      <w:pPr>
        <w:shd w:val="clear" w:color="auto" w:fill="FFC000"/>
        <w:spacing w:after="0" w:line="240" w:lineRule="auto"/>
        <w:rPr>
          <w:rFonts w:ascii="Garamond" w:hAnsi="Garamond"/>
          <w:b/>
          <w:sz w:val="22"/>
          <w:szCs w:val="22"/>
        </w:rPr>
      </w:pPr>
    </w:p>
    <w:p w:rsidR="00B26F6D" w:rsidRPr="00B802FA" w:rsidRDefault="00B26F6D" w:rsidP="00B802FA">
      <w:pPr>
        <w:shd w:val="clear" w:color="auto" w:fill="FFC000"/>
        <w:spacing w:after="0" w:line="240" w:lineRule="auto"/>
        <w:jc w:val="center"/>
        <w:rPr>
          <w:rFonts w:ascii="Garamond" w:hAnsi="Garamond"/>
          <w:b/>
          <w:sz w:val="22"/>
          <w:szCs w:val="22"/>
        </w:rPr>
      </w:pPr>
      <w:r w:rsidRPr="00B802FA">
        <w:rPr>
          <w:rFonts w:ascii="Garamond" w:hAnsi="Garamond"/>
          <w:b/>
          <w:sz w:val="22"/>
          <w:szCs w:val="22"/>
        </w:rPr>
        <w:t>DIAGNOZA</w:t>
      </w:r>
    </w:p>
    <w:p w:rsidR="008A6A2F" w:rsidRDefault="008A6A2F" w:rsidP="00971BF6">
      <w:pPr>
        <w:spacing w:before="240"/>
        <w:jc w:val="both"/>
        <w:rPr>
          <w:rFonts w:ascii="Garamond" w:hAnsi="Garamond"/>
          <w:i/>
        </w:rPr>
      </w:pPr>
    </w:p>
    <w:p w:rsidR="00472369" w:rsidRPr="00971BF6" w:rsidRDefault="001A03B5" w:rsidP="00971BF6">
      <w:pPr>
        <w:spacing w:before="240"/>
        <w:jc w:val="both"/>
        <w:rPr>
          <w:rFonts w:ascii="Garamond" w:hAnsi="Garamond"/>
          <w:i/>
        </w:rPr>
      </w:pPr>
      <w:r w:rsidRPr="001A03B5">
        <w:rPr>
          <w:rFonts w:ascii="Garamond" w:hAnsi="Garamond"/>
          <w:i/>
        </w:rPr>
        <w:t>Dane użyte w Diagnozie pochodzą z bazy GUS. W każdym innym przypadku zostało to zaznaczone.</w:t>
      </w:r>
    </w:p>
    <w:p w:rsidR="00472369" w:rsidRDefault="00472369" w:rsidP="00971BF6">
      <w:pPr>
        <w:shd w:val="clear" w:color="auto" w:fill="BFBFBF" w:themeFill="background1" w:themeFillShade="BF"/>
        <w:spacing w:after="0" w:line="240" w:lineRule="auto"/>
        <w:jc w:val="center"/>
        <w:rPr>
          <w:rFonts w:ascii="Garamond" w:hAnsi="Garamond"/>
          <w:sz w:val="22"/>
          <w:szCs w:val="22"/>
        </w:rPr>
      </w:pPr>
      <w:r>
        <w:rPr>
          <w:rFonts w:ascii="Garamond" w:hAnsi="Garamond"/>
          <w:b/>
          <w:sz w:val="22"/>
          <w:szCs w:val="22"/>
        </w:rPr>
        <w:t>POŁOŻENIE I WARUNKI FOZJOGRAFICZNE</w:t>
      </w:r>
    </w:p>
    <w:p w:rsidR="00472369" w:rsidRDefault="00472369" w:rsidP="00472369">
      <w:pPr>
        <w:jc w:val="both"/>
        <w:rPr>
          <w:rFonts w:ascii="Garamond" w:hAnsi="Garamond"/>
          <w:sz w:val="22"/>
          <w:szCs w:val="22"/>
        </w:rPr>
      </w:pPr>
    </w:p>
    <w:p w:rsidR="00472369" w:rsidRPr="005E7297" w:rsidRDefault="00472369" w:rsidP="00472369">
      <w:pPr>
        <w:jc w:val="both"/>
        <w:rPr>
          <w:rFonts w:ascii="Garamond" w:hAnsi="Garamond"/>
          <w:sz w:val="22"/>
          <w:szCs w:val="22"/>
        </w:rPr>
      </w:pPr>
      <w:proofErr w:type="spellStart"/>
      <w:r>
        <w:rPr>
          <w:rFonts w:ascii="Garamond" w:hAnsi="Garamond"/>
          <w:sz w:val="22"/>
          <w:szCs w:val="22"/>
        </w:rPr>
        <w:t>Północnokaszubska</w:t>
      </w:r>
      <w:proofErr w:type="spellEnd"/>
      <w:r>
        <w:rPr>
          <w:rFonts w:ascii="Garamond" w:hAnsi="Garamond"/>
          <w:sz w:val="22"/>
          <w:szCs w:val="22"/>
        </w:rPr>
        <w:t xml:space="preserve"> Lokalna Grupa Rybacka (PLGR) działa na obszarze obejmującym wszystkie gminy powiatu puckiego tj. miasta Hel, Jastarnię, Puck, Władysławowo, gminy miejsko-wiejskie Kosakowo, Krokowa, Puck oraz jedną gminę z powiatu wejherowskiego - gminę wiejską Wejherowo. Obszar ten obejmuje łącznie 766 </w:t>
      </w:r>
      <w:proofErr w:type="spellStart"/>
      <w:r>
        <w:rPr>
          <w:rFonts w:ascii="Garamond" w:hAnsi="Garamond"/>
          <w:sz w:val="22"/>
          <w:szCs w:val="22"/>
        </w:rPr>
        <w:t>km²</w:t>
      </w:r>
      <w:proofErr w:type="spellEnd"/>
      <w:r>
        <w:rPr>
          <w:rFonts w:ascii="Garamond" w:hAnsi="Garamond"/>
          <w:sz w:val="22"/>
          <w:szCs w:val="22"/>
        </w:rPr>
        <w:t xml:space="preserve">, co stanowi ponad </w:t>
      </w:r>
      <w:r w:rsidRPr="007A60B0">
        <w:rPr>
          <w:rFonts w:ascii="Garamond" w:hAnsi="Garamond"/>
          <w:b/>
          <w:color w:val="595959" w:themeColor="text1" w:themeTint="A6"/>
          <w:sz w:val="22"/>
          <w:szCs w:val="22"/>
        </w:rPr>
        <w:t>4% obszaru województwa pomorskiego</w:t>
      </w:r>
      <w:r>
        <w:rPr>
          <w:rFonts w:ascii="Garamond" w:hAnsi="Garamond"/>
          <w:sz w:val="22"/>
          <w:szCs w:val="22"/>
        </w:rPr>
        <w:t xml:space="preserve">. Zlokalizowany jest w północnej części województwa pomorskiego, a na jego terenie znajduje się najbardziej na północ wysunięty punkt Polski. Kolejno od północnego-zachodu, sąsiaduje z gminami Choczewo, Gniewino, Luzino, Szemud oraz miastami Wejherowo, Reda, Rumia, Gdynia. </w:t>
      </w:r>
      <w:r w:rsidRPr="005E7297">
        <w:rPr>
          <w:rFonts w:ascii="Garamond" w:hAnsi="Garamond"/>
          <w:sz w:val="22"/>
          <w:szCs w:val="22"/>
        </w:rPr>
        <w:t xml:space="preserve">Jego północną i wschodnią granicę stanowią wody Morza Bałtyckiego, w tym Zatoki Puckiej. </w:t>
      </w:r>
    </w:p>
    <w:p w:rsidR="00817C1E" w:rsidRPr="005E7297" w:rsidRDefault="00817C1E" w:rsidP="00817C1E">
      <w:pPr>
        <w:jc w:val="both"/>
        <w:rPr>
          <w:rFonts w:ascii="Garamond" w:hAnsi="Garamond"/>
          <w:sz w:val="22"/>
          <w:szCs w:val="22"/>
        </w:rPr>
      </w:pPr>
      <w:r w:rsidRPr="005E7297">
        <w:rPr>
          <w:rFonts w:ascii="Garamond" w:hAnsi="Garamond"/>
          <w:sz w:val="22"/>
          <w:szCs w:val="22"/>
        </w:rPr>
        <w:t xml:space="preserve">Obszar PLGR znajduje się pod silnym wpływem dynamicznie rozwijającego się Obszaru Metropolitalnego Trójmiasta, które rozciągnięte na długości 60 km, koncentruje działalność produkcyjną bezpośrednio i pośrednio związaną z morzem, transportem morskim oraz wyspecjalizowanymi usługami związanymi z turystyką i rybołówstwem, a także innymi usługami ponadregionalnymi. O wpływie OMT świadczą m.in. </w:t>
      </w:r>
      <w:r w:rsidRPr="007A60B0">
        <w:rPr>
          <w:rFonts w:ascii="Garamond" w:hAnsi="Garamond"/>
          <w:b/>
          <w:color w:val="595959" w:themeColor="text1" w:themeTint="A6"/>
          <w:sz w:val="22"/>
          <w:szCs w:val="22"/>
        </w:rPr>
        <w:t>codzienne dojazdy do pracy</w:t>
      </w:r>
      <w:r w:rsidRPr="005E7297">
        <w:rPr>
          <w:rFonts w:ascii="Garamond" w:hAnsi="Garamond"/>
          <w:sz w:val="22"/>
          <w:szCs w:val="22"/>
        </w:rPr>
        <w:t xml:space="preserve">, które są wynikiem </w:t>
      </w:r>
      <w:proofErr w:type="spellStart"/>
      <w:r w:rsidRPr="005E7297">
        <w:rPr>
          <w:rFonts w:ascii="Garamond" w:hAnsi="Garamond"/>
          <w:sz w:val="22"/>
          <w:szCs w:val="22"/>
        </w:rPr>
        <w:t>suburbanizacji</w:t>
      </w:r>
      <w:proofErr w:type="spellEnd"/>
      <w:r w:rsidRPr="005E7297">
        <w:rPr>
          <w:rFonts w:ascii="Garamond" w:hAnsi="Garamond"/>
          <w:sz w:val="22"/>
          <w:szCs w:val="22"/>
        </w:rPr>
        <w:t xml:space="preserve"> z dużych miast do gmin ościennych, w tym gmin </w:t>
      </w:r>
      <w:r w:rsidR="00902E6C" w:rsidRPr="005E7297">
        <w:rPr>
          <w:rFonts w:ascii="Garamond" w:hAnsi="Garamond"/>
          <w:sz w:val="22"/>
          <w:szCs w:val="22"/>
        </w:rPr>
        <w:t xml:space="preserve">tworzących obszar </w:t>
      </w:r>
      <w:r w:rsidRPr="005E7297">
        <w:rPr>
          <w:rFonts w:ascii="Garamond" w:hAnsi="Garamond"/>
          <w:sz w:val="22"/>
          <w:szCs w:val="22"/>
        </w:rPr>
        <w:t xml:space="preserve">PLGR. O ile słaba wydolność układu transportowego stanowi barierę rozwojową, o tyle napływająca ludność, często legitymująca się wyższym wykształceniem i zatrudniona w sektorze usług wyższego rzędu może stanowić znaczny potencjał rozwoju. </w:t>
      </w:r>
    </w:p>
    <w:p w:rsidR="00817C1E" w:rsidRPr="005E7297" w:rsidRDefault="00817C1E" w:rsidP="00817C1E">
      <w:pPr>
        <w:jc w:val="both"/>
        <w:rPr>
          <w:rFonts w:ascii="Garamond" w:hAnsi="Garamond"/>
          <w:sz w:val="22"/>
          <w:szCs w:val="22"/>
        </w:rPr>
      </w:pPr>
      <w:r w:rsidRPr="007A60B0">
        <w:rPr>
          <w:rFonts w:ascii="Garamond" w:hAnsi="Garamond"/>
          <w:b/>
          <w:color w:val="595959" w:themeColor="text1" w:themeTint="A6"/>
          <w:sz w:val="22"/>
          <w:szCs w:val="22"/>
        </w:rPr>
        <w:t>Klimat obszaru PLGR pozostaje pod wyraźnym wpływem morza</w:t>
      </w:r>
      <w:r w:rsidRPr="005E7297">
        <w:rPr>
          <w:rFonts w:ascii="Garamond" w:hAnsi="Garamond"/>
          <w:sz w:val="22"/>
          <w:szCs w:val="22"/>
        </w:rPr>
        <w:t>, które łagodzi temperatury w zimie. Wpływa to na mniejsze amplitudy temperatur. Lata i zimy są krótkie, natomiast ilość opadów jest większa niż na pozostałym obszarze kraju. Wieją też silne wiatry, głównie z kierunku zachodniego. Bliskość morza wpływa też na dużą zmienność pogody.</w:t>
      </w:r>
    </w:p>
    <w:p w:rsidR="00817C1E" w:rsidRPr="005E7297" w:rsidRDefault="00817C1E" w:rsidP="00817C1E">
      <w:pPr>
        <w:spacing w:after="240"/>
        <w:jc w:val="both"/>
        <w:rPr>
          <w:rFonts w:ascii="Garamond" w:hAnsi="Garamond"/>
          <w:sz w:val="22"/>
          <w:szCs w:val="22"/>
        </w:rPr>
      </w:pPr>
      <w:r w:rsidRPr="005E7297">
        <w:rPr>
          <w:rFonts w:ascii="Garamond" w:hAnsi="Garamond"/>
          <w:sz w:val="22"/>
          <w:szCs w:val="22"/>
        </w:rPr>
        <w:t xml:space="preserve">Obszar objęty Strategią </w:t>
      </w:r>
      <w:r w:rsidRPr="007A60B0">
        <w:rPr>
          <w:rFonts w:ascii="Garamond" w:hAnsi="Garamond"/>
          <w:b/>
          <w:color w:val="595959" w:themeColor="text1" w:themeTint="A6"/>
          <w:sz w:val="22"/>
          <w:szCs w:val="22"/>
        </w:rPr>
        <w:t>wyróżnia się znacznymi zasobami wodnymi</w:t>
      </w:r>
      <w:r w:rsidRPr="007A60B0">
        <w:rPr>
          <w:rFonts w:ascii="Garamond" w:hAnsi="Garamond"/>
          <w:color w:val="595959" w:themeColor="text1" w:themeTint="A6"/>
          <w:sz w:val="22"/>
          <w:szCs w:val="22"/>
        </w:rPr>
        <w:t xml:space="preserve"> </w:t>
      </w:r>
      <w:r w:rsidRPr="005E7297">
        <w:rPr>
          <w:rFonts w:ascii="Garamond" w:hAnsi="Garamond"/>
          <w:sz w:val="22"/>
          <w:szCs w:val="22"/>
        </w:rPr>
        <w:t xml:space="preserve">w postaci rzek uchodzących bezpośrednio o Morza Bałtyckiego lub Zatoki Gdańskiej. Przy czym </w:t>
      </w:r>
      <w:r w:rsidRPr="007A60B0">
        <w:rPr>
          <w:rFonts w:ascii="Garamond" w:hAnsi="Garamond"/>
          <w:b/>
          <w:color w:val="595959" w:themeColor="text1" w:themeTint="A6"/>
          <w:sz w:val="22"/>
          <w:szCs w:val="22"/>
        </w:rPr>
        <w:t>ich jakość jest zróżnicowana</w:t>
      </w:r>
      <w:r w:rsidRPr="005E7297">
        <w:rPr>
          <w:rFonts w:ascii="Garamond" w:hAnsi="Garamond"/>
          <w:sz w:val="22"/>
          <w:szCs w:val="22"/>
        </w:rPr>
        <w:t xml:space="preserve">. Słabą kondycję wykazywały wody </w:t>
      </w:r>
      <w:proofErr w:type="spellStart"/>
      <w:r w:rsidRPr="005E7297">
        <w:rPr>
          <w:rFonts w:ascii="Garamond" w:hAnsi="Garamond"/>
          <w:sz w:val="22"/>
          <w:szCs w:val="22"/>
        </w:rPr>
        <w:t>Płutnicy</w:t>
      </w:r>
      <w:proofErr w:type="spellEnd"/>
      <w:r w:rsidRPr="005E7297">
        <w:rPr>
          <w:rFonts w:ascii="Garamond" w:hAnsi="Garamond"/>
          <w:sz w:val="22"/>
          <w:szCs w:val="22"/>
        </w:rPr>
        <w:t xml:space="preserve"> i Czarnej Wody w odcinku ujściowym. Obniżona kondycja, przesądzająca o niekorzystnym stanie</w:t>
      </w:r>
      <w:r w:rsidR="00467C96" w:rsidRPr="005E7297">
        <w:rPr>
          <w:rFonts w:ascii="Garamond" w:hAnsi="Garamond"/>
          <w:sz w:val="22"/>
          <w:szCs w:val="22"/>
        </w:rPr>
        <w:t xml:space="preserve"> ekologicznym wynika</w:t>
      </w:r>
      <w:r w:rsidRPr="005E7297">
        <w:rPr>
          <w:rFonts w:ascii="Garamond" w:hAnsi="Garamond"/>
          <w:sz w:val="22"/>
          <w:szCs w:val="22"/>
        </w:rPr>
        <w:t xml:space="preserve"> przede wszystkim z oceny elementów biologicznych i w mniejszym zakresie z</w:t>
      </w:r>
      <w:bookmarkStart w:id="0" w:name="_GoBack"/>
      <w:bookmarkEnd w:id="0"/>
      <w:r w:rsidRPr="005E7297">
        <w:rPr>
          <w:rFonts w:ascii="Garamond" w:hAnsi="Garamond"/>
          <w:sz w:val="22"/>
          <w:szCs w:val="22"/>
        </w:rPr>
        <w:t xml:space="preserve"> oceny fizykochemicznej, dotyczącej koncentracji fosforanów. Z kolei rzeka Reda, której ujściowy odcinek znajduje się w rezerwacie przyrody Beka posiada umiarkowany </w:t>
      </w:r>
      <w:r w:rsidRPr="005E7297">
        <w:rPr>
          <w:rFonts w:ascii="Garamond" w:hAnsi="Garamond"/>
          <w:sz w:val="22"/>
          <w:szCs w:val="22"/>
        </w:rPr>
        <w:lastRenderedPageBreak/>
        <w:t>potencjał ekologiczny, przy jednocześnie dobrym stanie chemicznym (</w:t>
      </w:r>
      <w:r w:rsidRPr="005E7297">
        <w:rPr>
          <w:rFonts w:ascii="Garamond" w:hAnsi="Garamond"/>
          <w:i/>
          <w:sz w:val="22"/>
          <w:szCs w:val="22"/>
        </w:rPr>
        <w:t>Raport o stanie…</w:t>
      </w:r>
      <w:r w:rsidR="00816903" w:rsidRPr="005E7297">
        <w:rPr>
          <w:rFonts w:ascii="Garamond" w:hAnsi="Garamond"/>
          <w:sz w:val="22"/>
          <w:szCs w:val="22"/>
        </w:rPr>
        <w:t>, 2014</w:t>
      </w:r>
      <w:r w:rsidRPr="005E7297">
        <w:rPr>
          <w:rFonts w:ascii="Garamond" w:hAnsi="Garamond"/>
          <w:sz w:val="22"/>
          <w:szCs w:val="22"/>
        </w:rPr>
        <w:t>). Ponadto, na obszarze PLGR występują jeziora (np. Dobre i Bielawa), oczka wodne, stawy i mokradła, które z innymi terenami zielonymi wpływają na rozwój funkcji rekreacyjnej.</w:t>
      </w:r>
    </w:p>
    <w:p w:rsidR="00817C1E" w:rsidRPr="005E7297" w:rsidRDefault="00817C1E" w:rsidP="003850F3">
      <w:pPr>
        <w:jc w:val="both"/>
        <w:rPr>
          <w:rFonts w:ascii="Garamond" w:hAnsi="Garamond"/>
          <w:sz w:val="22"/>
          <w:szCs w:val="22"/>
        </w:rPr>
      </w:pPr>
      <w:r w:rsidRPr="005E7297">
        <w:rPr>
          <w:rFonts w:ascii="Garamond" w:hAnsi="Garamond"/>
          <w:sz w:val="22"/>
          <w:szCs w:val="22"/>
        </w:rPr>
        <w:t xml:space="preserve">Na obszarze PLGR </w:t>
      </w:r>
      <w:r w:rsidRPr="007A60B0">
        <w:rPr>
          <w:rFonts w:ascii="Garamond" w:hAnsi="Garamond"/>
          <w:b/>
          <w:color w:val="595959" w:themeColor="text1" w:themeTint="A6"/>
          <w:sz w:val="22"/>
          <w:szCs w:val="22"/>
        </w:rPr>
        <w:t>występują złoża kopalin</w:t>
      </w:r>
      <w:r w:rsidRPr="005E7297">
        <w:rPr>
          <w:rFonts w:ascii="Garamond" w:hAnsi="Garamond"/>
          <w:sz w:val="22"/>
          <w:szCs w:val="22"/>
        </w:rPr>
        <w:t xml:space="preserve">, do których zalicza się m.in. ropę naftową i gaz ziemny (wydobywane w gm. Krokowa), sól kamienną (Zatoka Pucka), sole potasowo-magnezowe (miejscowości: Chłapowo, Mieroszyno, Swarzewo i Zdrada), surowce szklarskie (Puck), kruszywa naturalne w tym piaski i żwiry (powiaty </w:t>
      </w:r>
      <w:r w:rsidR="00902E6C" w:rsidRPr="005E7297">
        <w:rPr>
          <w:rFonts w:ascii="Garamond" w:hAnsi="Garamond"/>
          <w:sz w:val="22"/>
          <w:szCs w:val="22"/>
        </w:rPr>
        <w:t xml:space="preserve">obszaru </w:t>
      </w:r>
      <w:r w:rsidRPr="005E7297">
        <w:rPr>
          <w:rFonts w:ascii="Garamond" w:hAnsi="Garamond"/>
          <w:sz w:val="22"/>
          <w:szCs w:val="22"/>
        </w:rPr>
        <w:t>PLGR) oraz kamienie drogowe (Czechy-Domatowo) (</w:t>
      </w:r>
      <w:r w:rsidRPr="005E7297">
        <w:rPr>
          <w:rFonts w:ascii="Garamond" w:hAnsi="Garamond"/>
          <w:i/>
          <w:sz w:val="22"/>
          <w:szCs w:val="22"/>
        </w:rPr>
        <w:t>Raport o stanie…,</w:t>
      </w:r>
      <w:r w:rsidRPr="005E7297">
        <w:rPr>
          <w:rFonts w:ascii="Garamond" w:hAnsi="Garamond"/>
          <w:sz w:val="22"/>
          <w:szCs w:val="22"/>
        </w:rPr>
        <w:t xml:space="preserve"> 2014).</w:t>
      </w:r>
    </w:p>
    <w:p w:rsidR="001F6BA9" w:rsidRPr="001F6BA9" w:rsidRDefault="001F6BA9" w:rsidP="001F6BA9">
      <w:pPr>
        <w:shd w:val="clear" w:color="auto" w:fill="D9D9D9" w:themeFill="background1" w:themeFillShade="D9"/>
        <w:spacing w:after="0"/>
        <w:jc w:val="center"/>
        <w:rPr>
          <w:rFonts w:ascii="Garamond" w:hAnsi="Garamond"/>
          <w:b/>
          <w:sz w:val="22"/>
          <w:szCs w:val="22"/>
        </w:rPr>
      </w:pPr>
      <w:r w:rsidRPr="001F6BA9">
        <w:rPr>
          <w:rFonts w:ascii="Garamond" w:hAnsi="Garamond"/>
          <w:b/>
          <w:sz w:val="22"/>
          <w:szCs w:val="22"/>
        </w:rPr>
        <w:t>ROLNICTWO</w:t>
      </w:r>
    </w:p>
    <w:p w:rsidR="001F6BA9" w:rsidRDefault="001F6BA9" w:rsidP="00674C8D">
      <w:pPr>
        <w:spacing w:after="0"/>
        <w:jc w:val="both"/>
        <w:rPr>
          <w:rFonts w:ascii="Garamond" w:hAnsi="Garamond"/>
          <w:sz w:val="22"/>
          <w:szCs w:val="22"/>
        </w:rPr>
      </w:pPr>
    </w:p>
    <w:p w:rsidR="00674C8D" w:rsidRPr="00816903" w:rsidRDefault="00731A53" w:rsidP="00674C8D">
      <w:pPr>
        <w:spacing w:after="0"/>
        <w:jc w:val="both"/>
        <w:rPr>
          <w:rFonts w:ascii="Garamond" w:hAnsi="Garamond"/>
          <w:sz w:val="22"/>
          <w:szCs w:val="22"/>
        </w:rPr>
      </w:pPr>
      <w:r w:rsidRPr="005E7297">
        <w:rPr>
          <w:rFonts w:ascii="Garamond" w:hAnsi="Garamond"/>
          <w:sz w:val="22"/>
          <w:szCs w:val="22"/>
        </w:rPr>
        <w:t xml:space="preserve">Powiaty wchodzące w skład PLGR </w:t>
      </w:r>
      <w:r w:rsidRPr="007A60B0">
        <w:rPr>
          <w:rFonts w:ascii="Garamond" w:hAnsi="Garamond"/>
          <w:b/>
          <w:color w:val="595959" w:themeColor="text1" w:themeTint="A6"/>
          <w:sz w:val="22"/>
          <w:szCs w:val="22"/>
        </w:rPr>
        <w:t>charakteryzują się zróżnicowanym użytkowaniem gruntów</w:t>
      </w:r>
      <w:r w:rsidRPr="005E7297">
        <w:rPr>
          <w:rFonts w:ascii="Garamond" w:hAnsi="Garamond"/>
          <w:sz w:val="22"/>
          <w:szCs w:val="22"/>
        </w:rPr>
        <w:t>. W powiecie puckim użytki rolne stanowią 54,1%, a grunty leśne (zadrzewione i zakrzewione) 32,4%. Z kolei  w powiecie wejherowskim te dwie formy użytkowania terenu pokrywają po 44,9% obszaru (w Pomorskiem odpowiednio 50,4% i 37,6%). Przekłada się to na mniejszy udział gruntów zabudowanych i zurbanizowanych, które wynoszą 6,1%, podczas gdy w powiecie puckim 7,9%. Są to wartości wyższe niż średnia wojewódzka, która wynosi 5,2%. Na terenie powiatu puckiego jest również więcej użytków</w:t>
      </w:r>
      <w:r w:rsidRPr="00816903">
        <w:rPr>
          <w:rFonts w:ascii="Garamond" w:hAnsi="Garamond"/>
          <w:sz w:val="22"/>
          <w:szCs w:val="22"/>
        </w:rPr>
        <w:t xml:space="preserve"> ekologicznych (0,2%) oraz nieużytków (3,7%). W powiecie wejherowskim te dwie formy stanowią marginalne 0,1% (sytuacja analogiczna do średniej wojewódzkiej) oraz 1,6% (przy średniej wojewódzkiej 2,3%).</w:t>
      </w:r>
      <w:r w:rsidR="0009043A" w:rsidRPr="00816903">
        <w:rPr>
          <w:rFonts w:ascii="Garamond" w:hAnsi="Garamond"/>
          <w:sz w:val="22"/>
          <w:szCs w:val="22"/>
        </w:rPr>
        <w:t xml:space="preserve"> </w:t>
      </w:r>
    </w:p>
    <w:p w:rsidR="00731A53" w:rsidRPr="005E7297" w:rsidRDefault="002C5C13" w:rsidP="00674C8D">
      <w:pPr>
        <w:spacing w:after="0"/>
        <w:jc w:val="both"/>
        <w:rPr>
          <w:rFonts w:ascii="Garamond" w:hAnsi="Garamond"/>
          <w:sz w:val="22"/>
          <w:szCs w:val="22"/>
        </w:rPr>
      </w:pPr>
      <w:r w:rsidRPr="007A60B0">
        <w:rPr>
          <w:rFonts w:ascii="Garamond" w:hAnsi="Garamond"/>
          <w:b/>
          <w:color w:val="595959" w:themeColor="text1" w:themeTint="A6"/>
          <w:sz w:val="22"/>
          <w:szCs w:val="22"/>
        </w:rPr>
        <w:t>Dominacja gruntów rolnych i leśnych</w:t>
      </w:r>
      <w:r w:rsidRPr="007A60B0">
        <w:rPr>
          <w:rFonts w:ascii="Garamond" w:hAnsi="Garamond"/>
          <w:color w:val="7F7F7F" w:themeColor="text1" w:themeTint="80"/>
          <w:sz w:val="22"/>
          <w:szCs w:val="22"/>
        </w:rPr>
        <w:t xml:space="preserve"> </w:t>
      </w:r>
      <w:r w:rsidRPr="005E7297">
        <w:rPr>
          <w:rFonts w:ascii="Garamond" w:hAnsi="Garamond"/>
          <w:sz w:val="22"/>
          <w:szCs w:val="22"/>
        </w:rPr>
        <w:t>odgrywa ważną rolę gospodarczą i środowiskową, kształtując charakter krajobrazu, a obszary leśne stanowią także ważny czynnik kreowania zachowań społecznych, poprzez ich funkcję rekreacyjną</w:t>
      </w:r>
      <w:r w:rsidR="002343BC" w:rsidRPr="005E7297">
        <w:rPr>
          <w:rFonts w:ascii="Garamond" w:hAnsi="Garamond"/>
          <w:sz w:val="22"/>
          <w:szCs w:val="22"/>
        </w:rPr>
        <w:t xml:space="preserve">. </w:t>
      </w:r>
      <w:r w:rsidR="00A2665E" w:rsidRPr="005E7297">
        <w:rPr>
          <w:rFonts w:ascii="Garamond" w:hAnsi="Garamond"/>
          <w:sz w:val="22"/>
          <w:szCs w:val="22"/>
        </w:rPr>
        <w:t>Zmiany w u</w:t>
      </w:r>
      <w:r w:rsidR="0009043A" w:rsidRPr="005E7297">
        <w:rPr>
          <w:rFonts w:ascii="Garamond" w:hAnsi="Garamond"/>
          <w:sz w:val="22"/>
          <w:szCs w:val="22"/>
        </w:rPr>
        <w:t>kład</w:t>
      </w:r>
      <w:r w:rsidR="00A2665E" w:rsidRPr="005E7297">
        <w:rPr>
          <w:rFonts w:ascii="Garamond" w:hAnsi="Garamond"/>
          <w:sz w:val="22"/>
          <w:szCs w:val="22"/>
        </w:rPr>
        <w:t>zie</w:t>
      </w:r>
      <w:r w:rsidR="0009043A" w:rsidRPr="005E7297">
        <w:rPr>
          <w:rFonts w:ascii="Garamond" w:hAnsi="Garamond"/>
          <w:sz w:val="22"/>
          <w:szCs w:val="22"/>
        </w:rPr>
        <w:t xml:space="preserve"> jak również wzajemne</w:t>
      </w:r>
      <w:r w:rsidR="00A2665E" w:rsidRPr="005E7297">
        <w:rPr>
          <w:rFonts w:ascii="Garamond" w:hAnsi="Garamond"/>
          <w:sz w:val="22"/>
          <w:szCs w:val="22"/>
        </w:rPr>
        <w:t>j</w:t>
      </w:r>
      <w:r w:rsidR="0009043A" w:rsidRPr="005E7297">
        <w:rPr>
          <w:rFonts w:ascii="Garamond" w:hAnsi="Garamond"/>
          <w:sz w:val="22"/>
          <w:szCs w:val="22"/>
        </w:rPr>
        <w:t xml:space="preserve"> relacj</w:t>
      </w:r>
      <w:r w:rsidR="00A2665E" w:rsidRPr="005E7297">
        <w:rPr>
          <w:rFonts w:ascii="Garamond" w:hAnsi="Garamond"/>
          <w:sz w:val="22"/>
          <w:szCs w:val="22"/>
        </w:rPr>
        <w:t>i</w:t>
      </w:r>
      <w:r w:rsidR="0009043A" w:rsidRPr="005E7297">
        <w:rPr>
          <w:rFonts w:ascii="Garamond" w:hAnsi="Garamond"/>
          <w:sz w:val="22"/>
          <w:szCs w:val="22"/>
        </w:rPr>
        <w:t xml:space="preserve"> pomiędzy użytkami gruntowymi w powiatach </w:t>
      </w:r>
      <w:r w:rsidR="00A2665E" w:rsidRPr="005E7297">
        <w:rPr>
          <w:rFonts w:ascii="Garamond" w:hAnsi="Garamond"/>
          <w:sz w:val="22"/>
          <w:szCs w:val="22"/>
        </w:rPr>
        <w:t>polegają na znacznym wzroście powierzchni gruntów zabudowanych i zurbanizowanych, kosztem zmniejszenia powierzchni użytków rolnych</w:t>
      </w:r>
      <w:r w:rsidR="00B802FA" w:rsidRPr="005E7297">
        <w:rPr>
          <w:rFonts w:ascii="Garamond" w:hAnsi="Garamond"/>
          <w:sz w:val="22"/>
          <w:szCs w:val="22"/>
        </w:rPr>
        <w:t>.</w:t>
      </w:r>
      <w:r w:rsidR="002343BC" w:rsidRPr="005E7297">
        <w:rPr>
          <w:rFonts w:ascii="Garamond" w:hAnsi="Garamond"/>
          <w:sz w:val="22"/>
          <w:szCs w:val="22"/>
        </w:rPr>
        <w:t xml:space="preserve"> </w:t>
      </w:r>
    </w:p>
    <w:p w:rsidR="00674C8D" w:rsidRPr="005E7297" w:rsidRDefault="00674C8D" w:rsidP="00B802FA">
      <w:pPr>
        <w:pStyle w:val="Default"/>
        <w:spacing w:after="240" w:line="276" w:lineRule="auto"/>
        <w:jc w:val="both"/>
        <w:rPr>
          <w:color w:val="auto"/>
          <w:sz w:val="22"/>
          <w:szCs w:val="22"/>
        </w:rPr>
      </w:pPr>
      <w:r w:rsidRPr="005E7297">
        <w:rPr>
          <w:color w:val="auto"/>
          <w:sz w:val="22"/>
          <w:szCs w:val="22"/>
        </w:rPr>
        <w:t>Inwestycje z zakresu małej retencji o charakterze rozproszonym tj. budowa lub modernizacja zastawek i jazów, progów stabilizujących (m.in. Kanał ,,B” - Bielawskie Błota, Kanał „B” - Puckie Błota) podniosły efektywność gos</w:t>
      </w:r>
      <w:r w:rsidR="00B802FA" w:rsidRPr="005E7297">
        <w:rPr>
          <w:color w:val="auto"/>
          <w:sz w:val="22"/>
          <w:szCs w:val="22"/>
        </w:rPr>
        <w:t>podarowania na użytkach rolnych (</w:t>
      </w:r>
      <w:r w:rsidR="00B802FA" w:rsidRPr="005E7297">
        <w:rPr>
          <w:i/>
          <w:color w:val="auto"/>
          <w:sz w:val="22"/>
          <w:szCs w:val="22"/>
        </w:rPr>
        <w:t>Raport o stanie…,</w:t>
      </w:r>
      <w:r w:rsidR="00B802FA" w:rsidRPr="005E7297">
        <w:rPr>
          <w:color w:val="auto"/>
          <w:sz w:val="22"/>
          <w:szCs w:val="22"/>
        </w:rPr>
        <w:t xml:space="preserve"> 2014).</w:t>
      </w:r>
    </w:p>
    <w:p w:rsidR="00FB0C6D" w:rsidRDefault="00871DB0" w:rsidP="00FB0C6D">
      <w:pPr>
        <w:pStyle w:val="Default"/>
        <w:spacing w:line="276" w:lineRule="auto"/>
        <w:jc w:val="both"/>
        <w:rPr>
          <w:color w:val="auto"/>
          <w:sz w:val="22"/>
          <w:szCs w:val="22"/>
        </w:rPr>
      </w:pPr>
      <w:r w:rsidRPr="005E7297">
        <w:rPr>
          <w:color w:val="auto"/>
          <w:sz w:val="22"/>
          <w:szCs w:val="22"/>
        </w:rPr>
        <w:t xml:space="preserve">Znaczny udział użytków rolnych, wpływa na rozwój rolnictwa. </w:t>
      </w:r>
    </w:p>
    <w:p w:rsidR="00A602CF" w:rsidRDefault="00210613" w:rsidP="00391137">
      <w:pPr>
        <w:pStyle w:val="Default"/>
        <w:spacing w:after="240" w:line="276" w:lineRule="auto"/>
        <w:jc w:val="both"/>
        <w:rPr>
          <w:color w:val="auto"/>
          <w:sz w:val="22"/>
          <w:szCs w:val="22"/>
        </w:rPr>
      </w:pPr>
      <w:r>
        <w:rPr>
          <w:color w:val="auto"/>
          <w:sz w:val="22"/>
          <w:szCs w:val="22"/>
        </w:rPr>
        <w:t>W 2013 r. na obszarze PLGR zlokalizowanych było blisko 4,5 tys. gospodarstw rolnych</w:t>
      </w:r>
      <w:r>
        <w:rPr>
          <w:rStyle w:val="Odwoanieprzypisudolnego"/>
          <w:color w:val="auto"/>
          <w:sz w:val="22"/>
          <w:szCs w:val="22"/>
        </w:rPr>
        <w:footnoteReference w:id="1"/>
      </w:r>
      <w:r>
        <w:rPr>
          <w:color w:val="auto"/>
          <w:sz w:val="22"/>
          <w:szCs w:val="22"/>
        </w:rPr>
        <w:t xml:space="preserve">. Ich największy udział występuje w gminach Puck (42,0%), Krokowa (22,5%), Wejherowo (21,6%). </w:t>
      </w:r>
      <w:r w:rsidR="00722C72">
        <w:rPr>
          <w:color w:val="auto"/>
          <w:sz w:val="22"/>
          <w:szCs w:val="22"/>
        </w:rPr>
        <w:t>W s</w:t>
      </w:r>
      <w:r>
        <w:rPr>
          <w:color w:val="auto"/>
          <w:sz w:val="22"/>
          <w:szCs w:val="22"/>
        </w:rPr>
        <w:t>truktur</w:t>
      </w:r>
      <w:r w:rsidR="00722C72">
        <w:rPr>
          <w:color w:val="auto"/>
          <w:sz w:val="22"/>
          <w:szCs w:val="22"/>
        </w:rPr>
        <w:t>ze</w:t>
      </w:r>
      <w:r>
        <w:rPr>
          <w:color w:val="auto"/>
          <w:sz w:val="22"/>
          <w:szCs w:val="22"/>
        </w:rPr>
        <w:t xml:space="preserve"> wielkości</w:t>
      </w:r>
      <w:r w:rsidR="00722C72">
        <w:rPr>
          <w:color w:val="auto"/>
          <w:sz w:val="22"/>
          <w:szCs w:val="22"/>
        </w:rPr>
        <w:t xml:space="preserve"> </w:t>
      </w:r>
      <w:r w:rsidR="00722C72" w:rsidRPr="007A60B0">
        <w:rPr>
          <w:b/>
          <w:color w:val="595959" w:themeColor="text1" w:themeTint="A6"/>
          <w:sz w:val="22"/>
          <w:szCs w:val="22"/>
        </w:rPr>
        <w:t>dominują gospodarstwa najmniejsze</w:t>
      </w:r>
      <w:r w:rsidR="00387C6E">
        <w:rPr>
          <w:color w:val="auto"/>
          <w:sz w:val="22"/>
          <w:szCs w:val="22"/>
        </w:rPr>
        <w:t xml:space="preserve">, tj.: </w:t>
      </w:r>
      <w:r w:rsidR="00722C72">
        <w:rPr>
          <w:color w:val="auto"/>
          <w:sz w:val="22"/>
          <w:szCs w:val="22"/>
        </w:rPr>
        <w:t xml:space="preserve">37,5% posiada </w:t>
      </w:r>
      <w:r w:rsidR="00722C72" w:rsidRPr="00722C72">
        <w:rPr>
          <w:color w:val="auto"/>
          <w:sz w:val="22"/>
          <w:szCs w:val="22"/>
        </w:rPr>
        <w:t>od 1 do 1,99 ha</w:t>
      </w:r>
      <w:r w:rsidR="00722C72">
        <w:rPr>
          <w:color w:val="auto"/>
          <w:sz w:val="22"/>
          <w:szCs w:val="22"/>
        </w:rPr>
        <w:t>, 32,0%</w:t>
      </w:r>
      <w:r w:rsidR="00387C6E">
        <w:rPr>
          <w:color w:val="auto"/>
          <w:sz w:val="22"/>
          <w:szCs w:val="22"/>
        </w:rPr>
        <w:t xml:space="preserve"> </w:t>
      </w:r>
      <w:r w:rsidR="00722C72">
        <w:rPr>
          <w:color w:val="auto"/>
          <w:sz w:val="22"/>
          <w:szCs w:val="22"/>
        </w:rPr>
        <w:t xml:space="preserve">- </w:t>
      </w:r>
      <w:r w:rsidR="00722C72" w:rsidRPr="00722C72">
        <w:rPr>
          <w:color w:val="auto"/>
          <w:sz w:val="22"/>
          <w:szCs w:val="22"/>
        </w:rPr>
        <w:t>od 2 do 4,99 ha</w:t>
      </w:r>
      <w:r w:rsidR="00722C72">
        <w:rPr>
          <w:color w:val="auto"/>
          <w:sz w:val="22"/>
          <w:szCs w:val="22"/>
        </w:rPr>
        <w:t xml:space="preserve">, 13,8% - </w:t>
      </w:r>
      <w:r w:rsidR="00722C72" w:rsidRPr="00722C72">
        <w:rPr>
          <w:color w:val="auto"/>
          <w:sz w:val="22"/>
          <w:szCs w:val="22"/>
        </w:rPr>
        <w:t>od 5 do 9,99 ha</w:t>
      </w:r>
      <w:r w:rsidR="00722C72">
        <w:rPr>
          <w:color w:val="auto"/>
          <w:sz w:val="22"/>
          <w:szCs w:val="22"/>
        </w:rPr>
        <w:t>.</w:t>
      </w:r>
      <w:r w:rsidR="00387C6E">
        <w:rPr>
          <w:color w:val="auto"/>
          <w:sz w:val="22"/>
          <w:szCs w:val="22"/>
        </w:rPr>
        <w:t xml:space="preserve"> </w:t>
      </w:r>
      <w:r w:rsidR="00BD4498">
        <w:rPr>
          <w:color w:val="auto"/>
          <w:sz w:val="22"/>
          <w:szCs w:val="22"/>
        </w:rPr>
        <w:t>Gospodarstwa największe (powyżej 100 ha) stanowią 0,3%.</w:t>
      </w:r>
    </w:p>
    <w:p w:rsidR="00210613" w:rsidRDefault="00387C6E" w:rsidP="00391137">
      <w:pPr>
        <w:pStyle w:val="Default"/>
        <w:spacing w:before="240" w:after="240" w:line="276" w:lineRule="auto"/>
        <w:jc w:val="both"/>
        <w:rPr>
          <w:color w:val="auto"/>
          <w:sz w:val="22"/>
          <w:szCs w:val="22"/>
        </w:rPr>
      </w:pPr>
      <w:r>
        <w:rPr>
          <w:color w:val="auto"/>
          <w:sz w:val="22"/>
          <w:szCs w:val="22"/>
        </w:rPr>
        <w:t>Widoczne jest jednak znaczne zróżnicowanie w poszczególnych gminach PLGR, co przekłada się na wielkość zbiorów.</w:t>
      </w:r>
      <w:r w:rsidR="006374DD">
        <w:rPr>
          <w:color w:val="auto"/>
          <w:sz w:val="22"/>
          <w:szCs w:val="22"/>
        </w:rPr>
        <w:t xml:space="preserve"> Z ogółu 555,6 tys. t z obszaru PLGR, największe odnotowano w gminie Puck (62,4%), Kosakowo (16,7%) oraz Krokowa (11,7%).</w:t>
      </w:r>
      <w:r w:rsidR="00BA190A">
        <w:rPr>
          <w:color w:val="auto"/>
          <w:sz w:val="22"/>
          <w:szCs w:val="22"/>
        </w:rPr>
        <w:t xml:space="preserve"> Miasta Hel i Jastarnia nie mają udziału w zbiorach.</w:t>
      </w:r>
      <w:r w:rsidR="009B51EE">
        <w:rPr>
          <w:color w:val="auto"/>
          <w:sz w:val="22"/>
          <w:szCs w:val="22"/>
        </w:rPr>
        <w:t xml:space="preserve"> W obszarze objętym Strategią, 51,5% zbiorów stanowią warzywa gruntowe, </w:t>
      </w:r>
      <w:r w:rsidR="00FB0C6D">
        <w:rPr>
          <w:color w:val="auto"/>
          <w:sz w:val="22"/>
          <w:szCs w:val="22"/>
        </w:rPr>
        <w:t xml:space="preserve">14,5% trawy polowe, </w:t>
      </w:r>
      <w:r w:rsidR="009B51EE">
        <w:rPr>
          <w:color w:val="auto"/>
          <w:sz w:val="22"/>
          <w:szCs w:val="22"/>
        </w:rPr>
        <w:t>10,7% zboża 9,4% warzywa pastewne, 9,3% okopowe</w:t>
      </w:r>
      <w:r w:rsidR="00FB0C6D">
        <w:rPr>
          <w:color w:val="auto"/>
          <w:sz w:val="22"/>
          <w:szCs w:val="22"/>
        </w:rPr>
        <w:t>.</w:t>
      </w:r>
    </w:p>
    <w:p w:rsidR="0043364B" w:rsidRDefault="00871DB0" w:rsidP="007A697E">
      <w:pPr>
        <w:pStyle w:val="Default"/>
        <w:spacing w:after="240" w:line="276" w:lineRule="auto"/>
        <w:jc w:val="both"/>
        <w:rPr>
          <w:color w:val="auto"/>
          <w:sz w:val="22"/>
          <w:szCs w:val="22"/>
        </w:rPr>
      </w:pPr>
      <w:r w:rsidRPr="007A60B0">
        <w:rPr>
          <w:b/>
          <w:color w:val="595959" w:themeColor="text1" w:themeTint="A6"/>
          <w:sz w:val="22"/>
          <w:szCs w:val="22"/>
        </w:rPr>
        <w:t>Rolnicy</w:t>
      </w:r>
      <w:r w:rsidRPr="005E7297">
        <w:rPr>
          <w:color w:val="auto"/>
          <w:sz w:val="22"/>
          <w:szCs w:val="22"/>
        </w:rPr>
        <w:t xml:space="preserve"> z </w:t>
      </w:r>
      <w:r w:rsidR="00902E6C" w:rsidRPr="005E7297">
        <w:rPr>
          <w:color w:val="auto"/>
          <w:sz w:val="22"/>
          <w:szCs w:val="22"/>
        </w:rPr>
        <w:t xml:space="preserve">obszaru </w:t>
      </w:r>
      <w:r w:rsidRPr="005E7297">
        <w:rPr>
          <w:color w:val="auto"/>
          <w:sz w:val="22"/>
          <w:szCs w:val="22"/>
        </w:rPr>
        <w:t xml:space="preserve">PLGR </w:t>
      </w:r>
      <w:r w:rsidRPr="007A60B0">
        <w:rPr>
          <w:b/>
          <w:color w:val="595959" w:themeColor="text1" w:themeTint="A6"/>
          <w:sz w:val="22"/>
          <w:szCs w:val="22"/>
        </w:rPr>
        <w:t>specjalizują się</w:t>
      </w:r>
      <w:r w:rsidRPr="007A60B0">
        <w:rPr>
          <w:color w:val="595959" w:themeColor="text1" w:themeTint="A6"/>
          <w:sz w:val="22"/>
          <w:szCs w:val="22"/>
        </w:rPr>
        <w:t xml:space="preserve"> </w:t>
      </w:r>
      <w:r w:rsidR="0043364B">
        <w:rPr>
          <w:color w:val="auto"/>
          <w:sz w:val="22"/>
          <w:szCs w:val="22"/>
        </w:rPr>
        <w:t xml:space="preserve">również </w:t>
      </w:r>
      <w:r w:rsidR="001F6BA9" w:rsidRPr="007A60B0">
        <w:rPr>
          <w:b/>
          <w:color w:val="595959" w:themeColor="text1" w:themeTint="A6"/>
          <w:sz w:val="22"/>
          <w:szCs w:val="22"/>
        </w:rPr>
        <w:t xml:space="preserve">w </w:t>
      </w:r>
      <w:r w:rsidRPr="007A60B0">
        <w:rPr>
          <w:b/>
          <w:color w:val="595959" w:themeColor="text1" w:themeTint="A6"/>
          <w:sz w:val="22"/>
          <w:szCs w:val="22"/>
        </w:rPr>
        <w:t>chow</w:t>
      </w:r>
      <w:r w:rsidR="001F6BA9" w:rsidRPr="007A60B0">
        <w:rPr>
          <w:b/>
          <w:color w:val="595959" w:themeColor="text1" w:themeTint="A6"/>
          <w:sz w:val="22"/>
          <w:szCs w:val="22"/>
        </w:rPr>
        <w:t>ie</w:t>
      </w:r>
      <w:r w:rsidR="0043364B" w:rsidRPr="007A60B0">
        <w:rPr>
          <w:b/>
          <w:color w:val="595959" w:themeColor="text1" w:themeTint="A6"/>
          <w:sz w:val="22"/>
          <w:szCs w:val="22"/>
        </w:rPr>
        <w:t xml:space="preserve"> zwierząt</w:t>
      </w:r>
      <w:r w:rsidR="0043364B">
        <w:rPr>
          <w:color w:val="auto"/>
          <w:sz w:val="22"/>
          <w:szCs w:val="22"/>
        </w:rPr>
        <w:t>.</w:t>
      </w:r>
      <w:r w:rsidRPr="005E7297">
        <w:rPr>
          <w:color w:val="auto"/>
          <w:sz w:val="22"/>
          <w:szCs w:val="22"/>
        </w:rPr>
        <w:t xml:space="preserve"> </w:t>
      </w:r>
      <w:r w:rsidR="001F6BA9">
        <w:rPr>
          <w:color w:val="auto"/>
          <w:sz w:val="22"/>
          <w:szCs w:val="22"/>
        </w:rPr>
        <w:t xml:space="preserve">W 2013 r. pogłowie zwierząt w gospodarstwach rolnych wynosiło 113,4 tys. sztuk. Największy udział miała gmina Wejherowo, która skupiała 48,8% wszystkich zwierząt. Kolejno były gminy Puck (23,5%), Krokowa (13,5%), </w:t>
      </w:r>
      <w:r w:rsidR="00C2707B">
        <w:rPr>
          <w:color w:val="auto"/>
          <w:sz w:val="22"/>
          <w:szCs w:val="22"/>
        </w:rPr>
        <w:t>Kosakowo (11,9%). Na miasta należące do PLGR przypadło 2,3%. W strukturze pogłowia zwierząt dominuje drób (83,7%). Bydło stanowi 8,3%, a trzoda chlewna 7,3%.</w:t>
      </w:r>
      <w:r w:rsidR="0061691B">
        <w:rPr>
          <w:color w:val="auto"/>
          <w:sz w:val="22"/>
          <w:szCs w:val="22"/>
        </w:rPr>
        <w:t xml:space="preserve"> Warto zaznaczyć, iż sytuacja wygląda odmiennie w zależności od gminy. Gmina Wejherowo skupia 52,6% pogłowia drobiu, 40,5% trzody chlewnej i 19,7% bydła. Z kolei gmina Puck charakteryzuje się największym udziałem w posiadaniu trzody chlewnej (42,4%) oraz bydła (41,4%).</w:t>
      </w:r>
    </w:p>
    <w:p w:rsidR="00472369" w:rsidRPr="00816903" w:rsidRDefault="00871DB0" w:rsidP="007A697E">
      <w:pPr>
        <w:pStyle w:val="Default"/>
        <w:spacing w:after="240" w:line="276" w:lineRule="auto"/>
        <w:jc w:val="both"/>
        <w:rPr>
          <w:color w:val="auto"/>
          <w:sz w:val="22"/>
          <w:szCs w:val="22"/>
        </w:rPr>
      </w:pPr>
      <w:r w:rsidRPr="005E7297">
        <w:rPr>
          <w:color w:val="auto"/>
          <w:sz w:val="22"/>
          <w:szCs w:val="22"/>
        </w:rPr>
        <w:lastRenderedPageBreak/>
        <w:t xml:space="preserve">Ponadto, </w:t>
      </w:r>
      <w:r w:rsidR="0025469D">
        <w:rPr>
          <w:color w:val="auto"/>
          <w:sz w:val="22"/>
          <w:szCs w:val="22"/>
        </w:rPr>
        <w:t xml:space="preserve">rolnicy </w:t>
      </w:r>
      <w:r w:rsidRPr="007A60B0">
        <w:rPr>
          <w:b/>
          <w:color w:val="595959" w:themeColor="text1" w:themeTint="A6"/>
          <w:sz w:val="22"/>
          <w:szCs w:val="22"/>
        </w:rPr>
        <w:t>unowocześniają swoje gospodarstwa</w:t>
      </w:r>
      <w:r w:rsidRPr="007A60B0">
        <w:rPr>
          <w:color w:val="595959" w:themeColor="text1" w:themeTint="A6"/>
          <w:sz w:val="22"/>
          <w:szCs w:val="22"/>
        </w:rPr>
        <w:t xml:space="preserve"> </w:t>
      </w:r>
      <w:r w:rsidRPr="005E7297">
        <w:rPr>
          <w:color w:val="auto"/>
          <w:sz w:val="22"/>
          <w:szCs w:val="22"/>
        </w:rPr>
        <w:t>poprzez zakup środków trwałych oraz modernizację budynków gospodarczych.</w:t>
      </w:r>
      <w:r w:rsidR="00B94188" w:rsidRPr="005E7297">
        <w:rPr>
          <w:color w:val="auto"/>
          <w:sz w:val="22"/>
          <w:szCs w:val="22"/>
        </w:rPr>
        <w:t xml:space="preserve"> </w:t>
      </w:r>
      <w:r w:rsidR="002067DE" w:rsidRPr="005E7297">
        <w:rPr>
          <w:color w:val="auto"/>
          <w:sz w:val="22"/>
          <w:szCs w:val="22"/>
        </w:rPr>
        <w:t xml:space="preserve">W związku z tym, iż ten dział gospodarki należy do wrażliwych, następuje również </w:t>
      </w:r>
      <w:r w:rsidR="002067DE" w:rsidRPr="007A60B0">
        <w:rPr>
          <w:b/>
          <w:color w:val="595959" w:themeColor="text1" w:themeTint="A6"/>
          <w:sz w:val="22"/>
          <w:szCs w:val="22"/>
        </w:rPr>
        <w:t>powolny rozwój agroturystyki</w:t>
      </w:r>
      <w:r w:rsidR="002067DE" w:rsidRPr="007A60B0">
        <w:rPr>
          <w:color w:val="595959" w:themeColor="text1" w:themeTint="A6"/>
          <w:sz w:val="22"/>
          <w:szCs w:val="22"/>
        </w:rPr>
        <w:t xml:space="preserve"> </w:t>
      </w:r>
      <w:r w:rsidR="002067DE" w:rsidRPr="005E7297">
        <w:rPr>
          <w:color w:val="auto"/>
          <w:sz w:val="22"/>
          <w:szCs w:val="22"/>
        </w:rPr>
        <w:t>i związana z tym produkcja zdrowej, tradycyjnie wytwarzanej żywności.</w:t>
      </w:r>
      <w:r w:rsidR="002067DE" w:rsidRPr="00816903">
        <w:rPr>
          <w:color w:val="auto"/>
          <w:sz w:val="22"/>
          <w:szCs w:val="22"/>
        </w:rPr>
        <w:t xml:space="preserve"> </w:t>
      </w:r>
    </w:p>
    <w:p w:rsidR="008B0429" w:rsidRPr="006335E2" w:rsidRDefault="008B0429" w:rsidP="00E07C89">
      <w:pPr>
        <w:shd w:val="clear" w:color="auto" w:fill="17365D" w:themeFill="text2" w:themeFillShade="BF"/>
        <w:spacing w:after="0" w:line="240" w:lineRule="auto"/>
        <w:jc w:val="center"/>
        <w:rPr>
          <w:rFonts w:ascii="Garamond" w:hAnsi="Garamond"/>
          <w:b/>
          <w:sz w:val="22"/>
          <w:szCs w:val="22"/>
        </w:rPr>
      </w:pPr>
      <w:r w:rsidRPr="006335E2">
        <w:rPr>
          <w:rFonts w:ascii="Garamond" w:hAnsi="Garamond"/>
          <w:b/>
          <w:sz w:val="22"/>
          <w:szCs w:val="22"/>
        </w:rPr>
        <w:t>SPOŁECZEŃSTWO</w:t>
      </w:r>
    </w:p>
    <w:p w:rsidR="008B0429" w:rsidRDefault="008B0429" w:rsidP="008B0429">
      <w:pPr>
        <w:spacing w:after="0"/>
        <w:jc w:val="both"/>
        <w:rPr>
          <w:rFonts w:ascii="Garamond" w:hAnsi="Garamond"/>
          <w:sz w:val="22"/>
          <w:szCs w:val="22"/>
        </w:rPr>
      </w:pPr>
    </w:p>
    <w:p w:rsidR="00472369" w:rsidRDefault="00472369" w:rsidP="008B0429">
      <w:pPr>
        <w:spacing w:after="0"/>
        <w:jc w:val="both"/>
        <w:rPr>
          <w:rFonts w:ascii="Garamond" w:hAnsi="Garamond"/>
          <w:sz w:val="22"/>
          <w:szCs w:val="22"/>
        </w:rPr>
      </w:pPr>
    </w:p>
    <w:p w:rsidR="00F547CA" w:rsidRPr="001008BD" w:rsidRDefault="00F547CA" w:rsidP="001008BD">
      <w:pPr>
        <w:shd w:val="clear" w:color="auto" w:fill="8DB3E2" w:themeFill="text2" w:themeFillTint="66"/>
        <w:spacing w:after="0" w:line="240" w:lineRule="auto"/>
        <w:jc w:val="center"/>
        <w:rPr>
          <w:rFonts w:ascii="Garamond" w:hAnsi="Garamond"/>
          <w:b/>
          <w:sz w:val="22"/>
          <w:szCs w:val="22"/>
        </w:rPr>
      </w:pPr>
      <w:r w:rsidRPr="006335E2">
        <w:rPr>
          <w:rFonts w:ascii="Garamond" w:hAnsi="Garamond"/>
          <w:b/>
          <w:sz w:val="22"/>
          <w:szCs w:val="22"/>
        </w:rPr>
        <w:t>DEMOGRAFIA</w:t>
      </w:r>
    </w:p>
    <w:p w:rsidR="00472369" w:rsidRPr="005E7297" w:rsidRDefault="00472369" w:rsidP="00472369">
      <w:pPr>
        <w:spacing w:before="240"/>
        <w:jc w:val="both"/>
        <w:rPr>
          <w:rFonts w:ascii="Garamond" w:hAnsi="Garamond"/>
          <w:sz w:val="22"/>
          <w:szCs w:val="22"/>
        </w:rPr>
      </w:pPr>
      <w:r w:rsidRPr="005E7297">
        <w:rPr>
          <w:rFonts w:ascii="Garamond" w:hAnsi="Garamond"/>
          <w:sz w:val="22"/>
          <w:szCs w:val="22"/>
        </w:rPr>
        <w:t xml:space="preserve">Omawiany obszar charakteryzuje się wyjątkowo </w:t>
      </w:r>
      <w:r w:rsidRPr="005E7297">
        <w:rPr>
          <w:rFonts w:ascii="Garamond" w:hAnsi="Garamond"/>
          <w:b/>
          <w:color w:val="0070C0"/>
          <w:sz w:val="22"/>
          <w:szCs w:val="22"/>
        </w:rPr>
        <w:t>pozytywnymi trendami demograficznymi</w:t>
      </w:r>
      <w:r w:rsidRPr="005E7297">
        <w:rPr>
          <w:rFonts w:ascii="Garamond" w:hAnsi="Garamond"/>
          <w:sz w:val="22"/>
          <w:szCs w:val="22"/>
        </w:rPr>
        <w:t xml:space="preserve">. W 2013 r. liczba ludności wynosiła w nim ponad 104,6 tys. osób. W porównaniu do 2007 r. oznacza to wzrost o </w:t>
      </w:r>
      <w:r w:rsidR="00467C96" w:rsidRPr="005E7297">
        <w:rPr>
          <w:rFonts w:ascii="Garamond" w:hAnsi="Garamond"/>
          <w:sz w:val="22"/>
          <w:szCs w:val="22"/>
        </w:rPr>
        <w:t>9,6</w:t>
      </w:r>
      <w:r w:rsidRPr="005E7297">
        <w:rPr>
          <w:rFonts w:ascii="Garamond" w:hAnsi="Garamond"/>
          <w:sz w:val="22"/>
          <w:szCs w:val="22"/>
        </w:rPr>
        <w:t>%, z niespełna 95,5 tys. Populacja województwa pomorskiego również wzrosła, jednak tempo dla całego województwa było wolniejsze (</w:t>
      </w:r>
      <w:r w:rsidR="00467C96" w:rsidRPr="005E7297">
        <w:rPr>
          <w:rFonts w:ascii="Garamond" w:hAnsi="Garamond"/>
          <w:sz w:val="22"/>
          <w:szCs w:val="22"/>
        </w:rPr>
        <w:t>3,8</w:t>
      </w:r>
      <w:r w:rsidRPr="005E7297">
        <w:rPr>
          <w:rFonts w:ascii="Garamond" w:hAnsi="Garamond"/>
          <w:sz w:val="22"/>
          <w:szCs w:val="22"/>
        </w:rPr>
        <w:t>%) niż dla obszaru działalności PLGR. Tym samym zwiększył się udział mieszkańców LGR w ogólnej populacji mieszkańców województwa pomorskiego – z 4,3% do 4,6%. Wzrosła również gęstość zaludnienia na obszarze działalności PLGR - z 123,8 os/</w:t>
      </w:r>
      <w:proofErr w:type="spellStart"/>
      <w:r w:rsidRPr="005E7297">
        <w:rPr>
          <w:rFonts w:ascii="Garamond" w:hAnsi="Garamond"/>
          <w:sz w:val="22"/>
          <w:szCs w:val="22"/>
        </w:rPr>
        <w:t>km²</w:t>
      </w:r>
      <w:proofErr w:type="spellEnd"/>
      <w:r w:rsidRPr="005E7297">
        <w:rPr>
          <w:rFonts w:ascii="Garamond" w:hAnsi="Garamond"/>
          <w:sz w:val="22"/>
          <w:szCs w:val="22"/>
        </w:rPr>
        <w:t xml:space="preserve"> do 136,6 os/</w:t>
      </w:r>
      <w:proofErr w:type="spellStart"/>
      <w:r w:rsidRPr="005E7297">
        <w:rPr>
          <w:rFonts w:ascii="Garamond" w:hAnsi="Garamond"/>
          <w:sz w:val="22"/>
          <w:szCs w:val="22"/>
        </w:rPr>
        <w:t>km²</w:t>
      </w:r>
      <w:proofErr w:type="spellEnd"/>
      <w:r w:rsidRPr="005E7297">
        <w:rPr>
          <w:rFonts w:ascii="Garamond" w:hAnsi="Garamond"/>
          <w:sz w:val="22"/>
          <w:szCs w:val="22"/>
        </w:rPr>
        <w:t>.</w:t>
      </w:r>
    </w:p>
    <w:p w:rsidR="00472369" w:rsidRPr="005E7297" w:rsidRDefault="00472369" w:rsidP="00472369">
      <w:pPr>
        <w:jc w:val="both"/>
        <w:rPr>
          <w:rFonts w:ascii="Garamond" w:hAnsi="Garamond"/>
          <w:sz w:val="22"/>
          <w:szCs w:val="22"/>
        </w:rPr>
      </w:pPr>
      <w:r w:rsidRPr="005E7297">
        <w:rPr>
          <w:rFonts w:ascii="Garamond" w:hAnsi="Garamond"/>
          <w:sz w:val="22"/>
          <w:szCs w:val="22"/>
        </w:rPr>
        <w:t xml:space="preserve">Warto jednak zaznaczyć, że na obszarze PLGR ma miejsce </w:t>
      </w:r>
      <w:r w:rsidRPr="005E7297">
        <w:rPr>
          <w:rFonts w:ascii="Garamond" w:hAnsi="Garamond"/>
          <w:b/>
          <w:color w:val="0070C0"/>
          <w:sz w:val="22"/>
          <w:szCs w:val="22"/>
        </w:rPr>
        <w:t>ubytek mieszkańców miast</w:t>
      </w:r>
      <w:r w:rsidRPr="005E7297">
        <w:rPr>
          <w:rFonts w:ascii="Garamond" w:hAnsi="Garamond"/>
          <w:sz w:val="22"/>
          <w:szCs w:val="22"/>
        </w:rPr>
        <w:t>, co pokazuje wskaźnik urbanizacji. W latach 2007-2013 jego wartość spadła o 2,9 p proc. do 32,8%. Jest to tendencja obserwowana w całym kraju, a tym bardziej w województwie pomorskim, które odnotowało największą dezurbanizację w Polsce (o 1,6 p proc.)</w:t>
      </w:r>
    </w:p>
    <w:p w:rsidR="00472369" w:rsidRPr="005E7297" w:rsidRDefault="00472369" w:rsidP="00472369">
      <w:pPr>
        <w:jc w:val="both"/>
        <w:rPr>
          <w:rFonts w:ascii="Garamond" w:hAnsi="Garamond"/>
          <w:sz w:val="22"/>
          <w:szCs w:val="22"/>
        </w:rPr>
      </w:pPr>
      <w:r w:rsidRPr="005E7297">
        <w:rPr>
          <w:rFonts w:ascii="Garamond" w:hAnsi="Garamond"/>
          <w:b/>
          <w:color w:val="0070C0"/>
          <w:sz w:val="22"/>
          <w:szCs w:val="22"/>
        </w:rPr>
        <w:t>Najbardziej zaludnione są gminy wiejskie</w:t>
      </w:r>
      <w:r w:rsidRPr="005E7297">
        <w:rPr>
          <w:rFonts w:ascii="Garamond" w:hAnsi="Garamond"/>
          <w:sz w:val="22"/>
          <w:szCs w:val="22"/>
        </w:rPr>
        <w:t xml:space="preserve"> Puck i Władysławowo, w których zamieszkuje odpowiednio 23,7% i 22,0% ludności całego obszaru działalności PLGR. Natomiast najmniejsza część populacji obszaru mieszka w miastach Hel (3,5%) i Jastarnia (3,7%). </w:t>
      </w:r>
    </w:p>
    <w:p w:rsidR="00472369" w:rsidRPr="005E7297" w:rsidRDefault="00472369" w:rsidP="00472369">
      <w:pPr>
        <w:spacing w:after="0"/>
        <w:jc w:val="both"/>
        <w:rPr>
          <w:rFonts w:ascii="Garamond" w:hAnsi="Garamond"/>
          <w:sz w:val="22"/>
          <w:szCs w:val="22"/>
        </w:rPr>
      </w:pPr>
      <w:r w:rsidRPr="005E7297">
        <w:rPr>
          <w:rFonts w:ascii="Garamond" w:hAnsi="Garamond"/>
          <w:sz w:val="22"/>
          <w:szCs w:val="22"/>
        </w:rPr>
        <w:t>W latach 2007-2013, z ośmiu gmin wchodzących w skład PLGR, w sześciu odnotowano wzrost liczby ludności. Największy nastąpił w gminie Kosakowo (o 32% tj. z 8,9 tys. do 11,7 tys.), a najmniejszy w mieście Puck (niespełna o 0,5%). Ubytek ludności zaobserwowano natomiast w miastach Hel i Jastarnia (odpowiednio o 3,8% i 2,9%).</w:t>
      </w:r>
    </w:p>
    <w:p w:rsidR="00472369" w:rsidRDefault="00472369" w:rsidP="00472369">
      <w:pPr>
        <w:spacing w:after="0"/>
        <w:jc w:val="both"/>
        <w:rPr>
          <w:rFonts w:ascii="Garamond" w:hAnsi="Garamond"/>
          <w:sz w:val="22"/>
          <w:szCs w:val="22"/>
        </w:rPr>
      </w:pPr>
      <w:r w:rsidRPr="005E7297">
        <w:rPr>
          <w:rFonts w:ascii="Garamond" w:hAnsi="Garamond"/>
          <w:sz w:val="22"/>
          <w:szCs w:val="22"/>
        </w:rPr>
        <w:t xml:space="preserve">Na opisany wzrost populacji, mimo trendu spadkowego, składają się </w:t>
      </w:r>
      <w:r w:rsidRPr="005E7297">
        <w:rPr>
          <w:rFonts w:ascii="Garamond" w:hAnsi="Garamond"/>
          <w:b/>
          <w:color w:val="0070C0"/>
          <w:sz w:val="22"/>
          <w:szCs w:val="22"/>
        </w:rPr>
        <w:t>dodatni przyrost naturalny oraz saldo migracji</w:t>
      </w:r>
      <w:r w:rsidRPr="005E7297">
        <w:rPr>
          <w:rFonts w:ascii="Garamond" w:hAnsi="Garamond"/>
          <w:sz w:val="22"/>
          <w:szCs w:val="22"/>
        </w:rPr>
        <w:t>. W 2013 r. oprócz miasta Puck (- 0,6‰), we wszystkich gminach przyrost naturalny był dodatni. Największy w gminie Wejherowo (8‰) i Kosakowo (7,3‰). W latach 2007-2013, mimo trendu spadkowego (z 6,6‰ do 4,4‰), przyrost naturalny w całym obszarze LGR pozostawał dodatni. Tendencja ta dotyczyła również migracji. Jednak pod tym względem omawiany obszar nie jest spójny. Skrajne sytuacje mają miejsce w gminie Kosakowo, gdzie w latach 2007-2013 odnotowywano wysokie</w:t>
      </w:r>
      <w:r>
        <w:rPr>
          <w:rFonts w:ascii="Garamond" w:hAnsi="Garamond"/>
          <w:sz w:val="22"/>
          <w:szCs w:val="22"/>
        </w:rPr>
        <w:t xml:space="preserve"> dodatnie saldo (48,7‰) oraz w mieście Hel, gdzie w omawianym okresie występowało ujemne saldo (-21,8‰). </w:t>
      </w:r>
    </w:p>
    <w:p w:rsidR="00F179D2" w:rsidRDefault="004B7AF0" w:rsidP="002D0C62">
      <w:pPr>
        <w:jc w:val="both"/>
        <w:rPr>
          <w:rFonts w:ascii="Garamond" w:hAnsi="Garamond"/>
          <w:sz w:val="22"/>
          <w:szCs w:val="22"/>
        </w:rPr>
      </w:pPr>
      <w:r>
        <w:rPr>
          <w:rFonts w:ascii="Garamond" w:hAnsi="Garamond"/>
          <w:sz w:val="22"/>
          <w:szCs w:val="22"/>
        </w:rPr>
        <w:t>W</w:t>
      </w:r>
      <w:r w:rsidR="00C447D3" w:rsidRPr="00803F53">
        <w:rPr>
          <w:rFonts w:ascii="Garamond" w:hAnsi="Garamond"/>
          <w:sz w:val="22"/>
          <w:szCs w:val="22"/>
        </w:rPr>
        <w:t>zrost ludności wiejskiej związan</w:t>
      </w:r>
      <w:r>
        <w:rPr>
          <w:rFonts w:ascii="Garamond" w:hAnsi="Garamond"/>
          <w:sz w:val="22"/>
          <w:szCs w:val="22"/>
        </w:rPr>
        <w:t>y</w:t>
      </w:r>
      <w:r w:rsidR="00C447D3" w:rsidRPr="00803F53">
        <w:rPr>
          <w:rFonts w:ascii="Garamond" w:hAnsi="Garamond"/>
          <w:sz w:val="22"/>
          <w:szCs w:val="22"/>
        </w:rPr>
        <w:t xml:space="preserve"> </w:t>
      </w:r>
      <w:r>
        <w:rPr>
          <w:rFonts w:ascii="Garamond" w:hAnsi="Garamond"/>
          <w:sz w:val="22"/>
          <w:szCs w:val="22"/>
        </w:rPr>
        <w:t>jest</w:t>
      </w:r>
      <w:r w:rsidR="00C447D3" w:rsidRPr="00803F53">
        <w:rPr>
          <w:rFonts w:ascii="Garamond" w:hAnsi="Garamond"/>
          <w:sz w:val="22"/>
          <w:szCs w:val="22"/>
        </w:rPr>
        <w:t xml:space="preserve"> zarówno z większym udziałem przyrostu naturalnego na tych obszarach, jak i z postępującymi procesami </w:t>
      </w:r>
      <w:proofErr w:type="spellStart"/>
      <w:r w:rsidR="00C447D3" w:rsidRPr="00803F53">
        <w:rPr>
          <w:rFonts w:ascii="Garamond" w:hAnsi="Garamond"/>
          <w:sz w:val="22"/>
          <w:szCs w:val="22"/>
        </w:rPr>
        <w:t>suburbanizacji</w:t>
      </w:r>
      <w:proofErr w:type="spellEnd"/>
      <w:r w:rsidR="00C447D3" w:rsidRPr="00803F53">
        <w:rPr>
          <w:rFonts w:ascii="Garamond" w:hAnsi="Garamond"/>
          <w:sz w:val="22"/>
          <w:szCs w:val="22"/>
        </w:rPr>
        <w:t xml:space="preserve"> tj. rozprzestrzeniania się osadnictwa miejskiego poza granice administracyjne miast oraz przekształceniami osadnictwa wiejskiego (</w:t>
      </w:r>
      <w:r w:rsidR="00C447D3" w:rsidRPr="00803F53">
        <w:rPr>
          <w:rFonts w:ascii="Garamond" w:hAnsi="Garamond"/>
          <w:i/>
          <w:sz w:val="22"/>
          <w:szCs w:val="22"/>
        </w:rPr>
        <w:t>Raport o stanie…</w:t>
      </w:r>
      <w:r w:rsidR="00C447D3" w:rsidRPr="00803F53">
        <w:rPr>
          <w:rFonts w:ascii="Garamond" w:hAnsi="Garamond"/>
          <w:sz w:val="22"/>
          <w:szCs w:val="22"/>
        </w:rPr>
        <w:t>, 2014, s. 6)</w:t>
      </w:r>
      <w:r w:rsidR="002D0C62">
        <w:rPr>
          <w:rFonts w:ascii="Garamond" w:hAnsi="Garamond"/>
          <w:sz w:val="22"/>
          <w:szCs w:val="22"/>
        </w:rPr>
        <w:t xml:space="preserve">. </w:t>
      </w:r>
      <w:r w:rsidR="002D0C62" w:rsidRPr="005E7297">
        <w:rPr>
          <w:rFonts w:ascii="Garamond" w:hAnsi="Garamond"/>
          <w:sz w:val="22"/>
          <w:szCs w:val="22"/>
        </w:rPr>
        <w:t xml:space="preserve">Znaczny napływ ludności, świadczy o </w:t>
      </w:r>
      <w:r w:rsidR="002D0C62" w:rsidRPr="005E7297">
        <w:rPr>
          <w:rFonts w:ascii="Garamond" w:hAnsi="Garamond"/>
          <w:b/>
          <w:color w:val="0070C0"/>
          <w:sz w:val="22"/>
          <w:szCs w:val="22"/>
        </w:rPr>
        <w:t>dużej atrakcyjności osiedleńczej</w:t>
      </w:r>
      <w:r w:rsidR="002D0C62" w:rsidRPr="005E7297">
        <w:rPr>
          <w:rFonts w:ascii="Garamond" w:hAnsi="Garamond"/>
          <w:sz w:val="22"/>
          <w:szCs w:val="22"/>
        </w:rPr>
        <w:t xml:space="preserve"> obszaru PLGR.</w:t>
      </w:r>
      <w:r w:rsidR="002D0C62">
        <w:rPr>
          <w:rFonts w:ascii="Garamond" w:hAnsi="Garamond"/>
          <w:sz w:val="22"/>
          <w:szCs w:val="22"/>
        </w:rPr>
        <w:t xml:space="preserve"> </w:t>
      </w:r>
      <w:r w:rsidR="00737C47">
        <w:rPr>
          <w:rFonts w:ascii="Garamond" w:hAnsi="Garamond"/>
          <w:sz w:val="22"/>
          <w:szCs w:val="22"/>
        </w:rPr>
        <w:tab/>
      </w:r>
    </w:p>
    <w:p w:rsidR="00626F53" w:rsidRPr="00737C47" w:rsidRDefault="00801938" w:rsidP="00626F53">
      <w:pPr>
        <w:spacing w:after="0"/>
        <w:jc w:val="both"/>
        <w:rPr>
          <w:rFonts w:ascii="Garamond" w:hAnsi="Garamond"/>
          <w:szCs w:val="22"/>
        </w:rPr>
      </w:pPr>
      <w:r w:rsidRPr="00737C47">
        <w:rPr>
          <w:rFonts w:ascii="Garamond" w:hAnsi="Garamond"/>
          <w:szCs w:val="22"/>
        </w:rPr>
        <w:t>Tab</w:t>
      </w:r>
      <w:r w:rsidR="00737C47" w:rsidRPr="00737C47">
        <w:rPr>
          <w:rFonts w:ascii="Garamond" w:hAnsi="Garamond"/>
          <w:szCs w:val="22"/>
        </w:rPr>
        <w:t>.</w:t>
      </w:r>
      <w:r w:rsidRPr="00737C47">
        <w:rPr>
          <w:rFonts w:ascii="Garamond" w:hAnsi="Garamond"/>
          <w:szCs w:val="22"/>
        </w:rPr>
        <w:t xml:space="preserve"> 1. Charakterystyka demograficzna </w:t>
      </w:r>
      <w:r w:rsidR="00922E57">
        <w:rPr>
          <w:rFonts w:ascii="Garamond" w:hAnsi="Garamond"/>
          <w:szCs w:val="22"/>
        </w:rPr>
        <w:t xml:space="preserve">obszaru </w:t>
      </w:r>
      <w:r w:rsidRPr="00737C47">
        <w:rPr>
          <w:rFonts w:ascii="Garamond" w:hAnsi="Garamond"/>
          <w:szCs w:val="22"/>
        </w:rPr>
        <w:t>PLGR w 2013 r.</w:t>
      </w:r>
    </w:p>
    <w:tbl>
      <w:tblPr>
        <w:tblStyle w:val="Tabela-Siatka"/>
        <w:tblW w:w="9223" w:type="dxa"/>
        <w:tblLayout w:type="fixed"/>
        <w:tblLook w:val="04A0"/>
      </w:tblPr>
      <w:tblGrid>
        <w:gridCol w:w="1578"/>
        <w:gridCol w:w="938"/>
        <w:gridCol w:w="588"/>
        <w:gridCol w:w="952"/>
        <w:gridCol w:w="812"/>
        <w:gridCol w:w="993"/>
        <w:gridCol w:w="546"/>
        <w:gridCol w:w="994"/>
        <w:gridCol w:w="602"/>
        <w:gridCol w:w="1220"/>
      </w:tblGrid>
      <w:tr w:rsidR="00664EE9" w:rsidTr="007443A6">
        <w:tc>
          <w:tcPr>
            <w:tcW w:w="1578" w:type="dxa"/>
            <w:vMerge w:val="restart"/>
            <w:shd w:val="clear" w:color="auto" w:fill="95B3D7" w:themeFill="accent1" w:themeFillTint="99"/>
            <w:vAlign w:val="center"/>
          </w:tcPr>
          <w:p w:rsidR="00226C00" w:rsidRPr="00145E5A" w:rsidRDefault="00226C00" w:rsidP="00226C00">
            <w:pPr>
              <w:jc w:val="center"/>
              <w:rPr>
                <w:rFonts w:ascii="Garamond" w:hAnsi="Garamond"/>
                <w:sz w:val="16"/>
                <w:szCs w:val="18"/>
              </w:rPr>
            </w:pPr>
            <w:r w:rsidRPr="00145E5A">
              <w:rPr>
                <w:rFonts w:ascii="Garamond" w:hAnsi="Garamond"/>
                <w:sz w:val="16"/>
                <w:szCs w:val="18"/>
              </w:rPr>
              <w:t>Gmina</w:t>
            </w:r>
          </w:p>
        </w:tc>
        <w:tc>
          <w:tcPr>
            <w:tcW w:w="2478" w:type="dxa"/>
            <w:gridSpan w:val="3"/>
            <w:shd w:val="clear" w:color="auto" w:fill="95B3D7" w:themeFill="accent1" w:themeFillTint="99"/>
            <w:vAlign w:val="center"/>
          </w:tcPr>
          <w:p w:rsidR="00226C00" w:rsidRPr="00145E5A" w:rsidRDefault="00226C00" w:rsidP="00A548C6">
            <w:pPr>
              <w:jc w:val="center"/>
              <w:rPr>
                <w:rFonts w:ascii="Garamond" w:hAnsi="Garamond"/>
                <w:sz w:val="16"/>
                <w:szCs w:val="18"/>
              </w:rPr>
            </w:pPr>
            <w:r w:rsidRPr="00145E5A">
              <w:rPr>
                <w:rFonts w:ascii="Garamond" w:hAnsi="Garamond"/>
                <w:sz w:val="16"/>
                <w:szCs w:val="18"/>
              </w:rPr>
              <w:t>Liczba ludności</w:t>
            </w:r>
          </w:p>
        </w:tc>
        <w:tc>
          <w:tcPr>
            <w:tcW w:w="1805" w:type="dxa"/>
            <w:gridSpan w:val="2"/>
            <w:shd w:val="clear" w:color="auto" w:fill="95B3D7" w:themeFill="accent1" w:themeFillTint="99"/>
            <w:vAlign w:val="center"/>
          </w:tcPr>
          <w:p w:rsidR="00226C00" w:rsidRPr="00145E5A" w:rsidRDefault="00226C00" w:rsidP="00A548C6">
            <w:pPr>
              <w:jc w:val="center"/>
              <w:rPr>
                <w:rFonts w:ascii="Garamond" w:hAnsi="Garamond"/>
                <w:sz w:val="16"/>
                <w:szCs w:val="18"/>
              </w:rPr>
            </w:pPr>
            <w:r w:rsidRPr="00145E5A">
              <w:rPr>
                <w:rFonts w:ascii="Garamond" w:hAnsi="Garamond"/>
                <w:sz w:val="16"/>
                <w:szCs w:val="18"/>
              </w:rPr>
              <w:t>Gęstość zaludnienia</w:t>
            </w:r>
          </w:p>
        </w:tc>
        <w:tc>
          <w:tcPr>
            <w:tcW w:w="1540" w:type="dxa"/>
            <w:gridSpan w:val="2"/>
            <w:shd w:val="clear" w:color="auto" w:fill="95B3D7" w:themeFill="accent1" w:themeFillTint="99"/>
            <w:vAlign w:val="center"/>
          </w:tcPr>
          <w:p w:rsidR="00226C00" w:rsidRPr="00145E5A" w:rsidRDefault="00226C00" w:rsidP="00A548C6">
            <w:pPr>
              <w:jc w:val="center"/>
              <w:rPr>
                <w:rFonts w:ascii="Garamond" w:hAnsi="Garamond"/>
                <w:sz w:val="16"/>
                <w:szCs w:val="18"/>
              </w:rPr>
            </w:pPr>
            <w:r w:rsidRPr="00145E5A">
              <w:rPr>
                <w:rFonts w:ascii="Garamond" w:hAnsi="Garamond"/>
                <w:sz w:val="16"/>
                <w:szCs w:val="18"/>
              </w:rPr>
              <w:t>Przyrost naturalny</w:t>
            </w:r>
          </w:p>
        </w:tc>
        <w:tc>
          <w:tcPr>
            <w:tcW w:w="1822" w:type="dxa"/>
            <w:gridSpan w:val="2"/>
            <w:shd w:val="clear" w:color="auto" w:fill="95B3D7" w:themeFill="accent1" w:themeFillTint="99"/>
            <w:vAlign w:val="center"/>
          </w:tcPr>
          <w:p w:rsidR="00226C00" w:rsidRPr="00145E5A" w:rsidRDefault="00A548C6" w:rsidP="00A548C6">
            <w:pPr>
              <w:jc w:val="center"/>
              <w:rPr>
                <w:rFonts w:ascii="Garamond" w:hAnsi="Garamond"/>
                <w:sz w:val="16"/>
                <w:szCs w:val="18"/>
              </w:rPr>
            </w:pPr>
            <w:r w:rsidRPr="00145E5A">
              <w:rPr>
                <w:rFonts w:ascii="Garamond" w:hAnsi="Garamond"/>
                <w:sz w:val="16"/>
                <w:szCs w:val="18"/>
              </w:rPr>
              <w:t>Saldo migracji</w:t>
            </w:r>
          </w:p>
        </w:tc>
      </w:tr>
      <w:tr w:rsidR="007443A6" w:rsidTr="007443A6">
        <w:tc>
          <w:tcPr>
            <w:tcW w:w="1578" w:type="dxa"/>
            <w:vMerge/>
            <w:shd w:val="clear" w:color="auto" w:fill="95B3D7" w:themeFill="accent1" w:themeFillTint="99"/>
            <w:vAlign w:val="center"/>
          </w:tcPr>
          <w:p w:rsidR="00226C00" w:rsidRPr="00145E5A" w:rsidRDefault="00226C00" w:rsidP="00226C00">
            <w:pPr>
              <w:jc w:val="center"/>
              <w:rPr>
                <w:rFonts w:ascii="Garamond" w:hAnsi="Garamond"/>
                <w:sz w:val="16"/>
                <w:szCs w:val="18"/>
              </w:rPr>
            </w:pPr>
          </w:p>
        </w:tc>
        <w:tc>
          <w:tcPr>
            <w:tcW w:w="938" w:type="dxa"/>
            <w:shd w:val="clear" w:color="auto" w:fill="95B3D7" w:themeFill="accent1" w:themeFillTint="99"/>
            <w:vAlign w:val="center"/>
          </w:tcPr>
          <w:p w:rsidR="00226C00" w:rsidRPr="00145E5A" w:rsidRDefault="00226C00" w:rsidP="00226C00">
            <w:pPr>
              <w:jc w:val="center"/>
              <w:rPr>
                <w:rFonts w:ascii="Garamond" w:hAnsi="Garamond"/>
                <w:sz w:val="16"/>
                <w:szCs w:val="18"/>
              </w:rPr>
            </w:pPr>
            <w:r w:rsidRPr="00145E5A">
              <w:rPr>
                <w:rFonts w:ascii="Garamond" w:hAnsi="Garamond"/>
                <w:sz w:val="16"/>
                <w:szCs w:val="18"/>
              </w:rPr>
              <w:t>Liczba</w:t>
            </w:r>
          </w:p>
        </w:tc>
        <w:tc>
          <w:tcPr>
            <w:tcW w:w="588" w:type="dxa"/>
            <w:shd w:val="clear" w:color="auto" w:fill="95B3D7" w:themeFill="accent1" w:themeFillTint="99"/>
            <w:vAlign w:val="center"/>
          </w:tcPr>
          <w:p w:rsidR="00226C00" w:rsidRPr="00145E5A" w:rsidRDefault="00226C00" w:rsidP="00226C00">
            <w:pPr>
              <w:jc w:val="center"/>
              <w:rPr>
                <w:rFonts w:ascii="Garamond" w:hAnsi="Garamond"/>
                <w:sz w:val="16"/>
                <w:szCs w:val="18"/>
              </w:rPr>
            </w:pPr>
            <w:r w:rsidRPr="00145E5A">
              <w:rPr>
                <w:rFonts w:ascii="Garamond" w:hAnsi="Garamond"/>
                <w:sz w:val="16"/>
                <w:szCs w:val="18"/>
              </w:rPr>
              <w:t>% w PLGR</w:t>
            </w:r>
          </w:p>
        </w:tc>
        <w:tc>
          <w:tcPr>
            <w:tcW w:w="952" w:type="dxa"/>
            <w:shd w:val="clear" w:color="auto" w:fill="95B3D7" w:themeFill="accent1" w:themeFillTint="99"/>
            <w:vAlign w:val="center"/>
          </w:tcPr>
          <w:p w:rsidR="00226C00" w:rsidRPr="00145E5A" w:rsidRDefault="00226C00" w:rsidP="00226C00">
            <w:pPr>
              <w:jc w:val="center"/>
              <w:rPr>
                <w:rFonts w:ascii="Garamond" w:hAnsi="Garamond"/>
                <w:sz w:val="16"/>
                <w:szCs w:val="18"/>
              </w:rPr>
            </w:pPr>
            <w:r w:rsidRPr="00145E5A">
              <w:rPr>
                <w:rFonts w:ascii="Garamond" w:hAnsi="Garamond"/>
                <w:sz w:val="16"/>
                <w:szCs w:val="18"/>
              </w:rPr>
              <w:t xml:space="preserve">Dynamika </w:t>
            </w:r>
            <w:r w:rsidR="00CB52EE" w:rsidRPr="00145E5A">
              <w:rPr>
                <w:rFonts w:ascii="Garamond" w:hAnsi="Garamond"/>
                <w:sz w:val="16"/>
                <w:szCs w:val="18"/>
              </w:rPr>
              <w:t>[2007=100]</w:t>
            </w:r>
          </w:p>
        </w:tc>
        <w:tc>
          <w:tcPr>
            <w:tcW w:w="812" w:type="dxa"/>
            <w:shd w:val="clear" w:color="auto" w:fill="95B3D7" w:themeFill="accent1" w:themeFillTint="99"/>
            <w:vAlign w:val="center"/>
          </w:tcPr>
          <w:p w:rsidR="00226C00" w:rsidRPr="00145E5A" w:rsidRDefault="00226C00" w:rsidP="00226C00">
            <w:pPr>
              <w:jc w:val="center"/>
              <w:rPr>
                <w:rFonts w:ascii="Garamond" w:hAnsi="Garamond"/>
                <w:sz w:val="16"/>
                <w:szCs w:val="18"/>
              </w:rPr>
            </w:pPr>
            <w:r w:rsidRPr="00145E5A">
              <w:rPr>
                <w:rFonts w:ascii="Garamond" w:hAnsi="Garamond"/>
                <w:sz w:val="16"/>
                <w:szCs w:val="18"/>
              </w:rPr>
              <w:t>[os/</w:t>
            </w:r>
            <w:proofErr w:type="spellStart"/>
            <w:r w:rsidRPr="00145E5A">
              <w:rPr>
                <w:rFonts w:ascii="Garamond" w:hAnsi="Garamond"/>
                <w:sz w:val="16"/>
                <w:szCs w:val="18"/>
              </w:rPr>
              <w:t>km²</w:t>
            </w:r>
            <w:proofErr w:type="spellEnd"/>
            <w:r w:rsidRPr="00145E5A">
              <w:rPr>
                <w:rFonts w:ascii="Garamond" w:hAnsi="Garamond"/>
                <w:sz w:val="16"/>
                <w:szCs w:val="18"/>
              </w:rPr>
              <w:t>]</w:t>
            </w:r>
          </w:p>
        </w:tc>
        <w:tc>
          <w:tcPr>
            <w:tcW w:w="993" w:type="dxa"/>
            <w:shd w:val="clear" w:color="auto" w:fill="95B3D7" w:themeFill="accent1" w:themeFillTint="99"/>
            <w:vAlign w:val="center"/>
          </w:tcPr>
          <w:p w:rsidR="00226C00" w:rsidRPr="00145E5A" w:rsidRDefault="00226C00" w:rsidP="00220681">
            <w:pPr>
              <w:jc w:val="center"/>
              <w:rPr>
                <w:rFonts w:ascii="Garamond" w:hAnsi="Garamond"/>
                <w:sz w:val="16"/>
                <w:szCs w:val="18"/>
              </w:rPr>
            </w:pPr>
            <w:r w:rsidRPr="00145E5A">
              <w:rPr>
                <w:rFonts w:ascii="Garamond" w:hAnsi="Garamond"/>
                <w:sz w:val="16"/>
                <w:szCs w:val="18"/>
              </w:rPr>
              <w:t xml:space="preserve">Dynamika </w:t>
            </w:r>
            <w:r w:rsidR="00CB52EE" w:rsidRPr="00145E5A">
              <w:rPr>
                <w:rFonts w:ascii="Garamond" w:hAnsi="Garamond"/>
                <w:sz w:val="16"/>
                <w:szCs w:val="18"/>
              </w:rPr>
              <w:t>[</w:t>
            </w:r>
            <w:r w:rsidR="00220681" w:rsidRPr="00145E5A">
              <w:rPr>
                <w:rFonts w:ascii="Garamond" w:hAnsi="Garamond"/>
                <w:sz w:val="16"/>
                <w:szCs w:val="18"/>
              </w:rPr>
              <w:t>2013-2007</w:t>
            </w:r>
            <w:r w:rsidR="00CB52EE" w:rsidRPr="00145E5A">
              <w:rPr>
                <w:rFonts w:ascii="Garamond" w:hAnsi="Garamond"/>
                <w:sz w:val="16"/>
                <w:szCs w:val="18"/>
              </w:rPr>
              <w:t>]</w:t>
            </w:r>
          </w:p>
        </w:tc>
        <w:tc>
          <w:tcPr>
            <w:tcW w:w="546" w:type="dxa"/>
            <w:shd w:val="clear" w:color="auto" w:fill="95B3D7" w:themeFill="accent1" w:themeFillTint="99"/>
            <w:vAlign w:val="center"/>
          </w:tcPr>
          <w:p w:rsidR="00226C00" w:rsidRPr="00145E5A" w:rsidRDefault="00226C00" w:rsidP="00226C00">
            <w:pPr>
              <w:jc w:val="center"/>
              <w:rPr>
                <w:rFonts w:ascii="Garamond" w:hAnsi="Garamond"/>
                <w:sz w:val="16"/>
                <w:szCs w:val="18"/>
              </w:rPr>
            </w:pPr>
            <w:r w:rsidRPr="00145E5A">
              <w:rPr>
                <w:rFonts w:ascii="Garamond" w:hAnsi="Garamond"/>
                <w:sz w:val="16"/>
                <w:szCs w:val="18"/>
              </w:rPr>
              <w:t>[‰]</w:t>
            </w:r>
          </w:p>
        </w:tc>
        <w:tc>
          <w:tcPr>
            <w:tcW w:w="994" w:type="dxa"/>
            <w:shd w:val="clear" w:color="auto" w:fill="95B3D7" w:themeFill="accent1" w:themeFillTint="99"/>
            <w:vAlign w:val="center"/>
          </w:tcPr>
          <w:p w:rsidR="00226C00" w:rsidRPr="00145E5A" w:rsidRDefault="00226C00" w:rsidP="00CB52EE">
            <w:pPr>
              <w:jc w:val="center"/>
              <w:rPr>
                <w:rFonts w:ascii="Garamond" w:hAnsi="Garamond"/>
                <w:sz w:val="16"/>
                <w:szCs w:val="18"/>
              </w:rPr>
            </w:pPr>
            <w:r w:rsidRPr="00145E5A">
              <w:rPr>
                <w:rFonts w:ascii="Garamond" w:hAnsi="Garamond"/>
                <w:sz w:val="16"/>
                <w:szCs w:val="18"/>
              </w:rPr>
              <w:t xml:space="preserve">Dynamika </w:t>
            </w:r>
            <w:r w:rsidR="00CB52EE" w:rsidRPr="00145E5A">
              <w:rPr>
                <w:rFonts w:ascii="Garamond" w:hAnsi="Garamond"/>
                <w:sz w:val="16"/>
                <w:szCs w:val="18"/>
              </w:rPr>
              <w:t>[</w:t>
            </w:r>
            <w:r w:rsidR="00220681" w:rsidRPr="00145E5A">
              <w:rPr>
                <w:rFonts w:ascii="Garamond" w:hAnsi="Garamond"/>
                <w:sz w:val="16"/>
                <w:szCs w:val="18"/>
              </w:rPr>
              <w:t>2013-2007</w:t>
            </w:r>
            <w:r w:rsidR="00CB52EE" w:rsidRPr="00145E5A">
              <w:rPr>
                <w:rFonts w:ascii="Garamond" w:hAnsi="Garamond"/>
                <w:sz w:val="16"/>
                <w:szCs w:val="18"/>
              </w:rPr>
              <w:t>]</w:t>
            </w:r>
          </w:p>
        </w:tc>
        <w:tc>
          <w:tcPr>
            <w:tcW w:w="602" w:type="dxa"/>
            <w:shd w:val="clear" w:color="auto" w:fill="95B3D7" w:themeFill="accent1" w:themeFillTint="99"/>
            <w:vAlign w:val="center"/>
          </w:tcPr>
          <w:p w:rsidR="00226C00" w:rsidRPr="00145E5A" w:rsidRDefault="00226C00" w:rsidP="00226C00">
            <w:pPr>
              <w:jc w:val="center"/>
              <w:rPr>
                <w:rFonts w:ascii="Garamond" w:hAnsi="Garamond"/>
                <w:sz w:val="16"/>
                <w:szCs w:val="18"/>
              </w:rPr>
            </w:pPr>
            <w:r w:rsidRPr="00145E5A">
              <w:rPr>
                <w:rFonts w:ascii="Garamond" w:hAnsi="Garamond"/>
                <w:sz w:val="16"/>
                <w:szCs w:val="18"/>
              </w:rPr>
              <w:t>[‰]</w:t>
            </w:r>
          </w:p>
        </w:tc>
        <w:tc>
          <w:tcPr>
            <w:tcW w:w="1220" w:type="dxa"/>
            <w:shd w:val="clear" w:color="auto" w:fill="95B3D7" w:themeFill="accent1" w:themeFillTint="99"/>
            <w:vAlign w:val="center"/>
          </w:tcPr>
          <w:p w:rsidR="00226C00" w:rsidRPr="00145E5A" w:rsidRDefault="00226C00" w:rsidP="00220681">
            <w:pPr>
              <w:jc w:val="center"/>
              <w:rPr>
                <w:rFonts w:ascii="Garamond" w:hAnsi="Garamond"/>
                <w:sz w:val="16"/>
                <w:szCs w:val="18"/>
              </w:rPr>
            </w:pPr>
            <w:r w:rsidRPr="00145E5A">
              <w:rPr>
                <w:rFonts w:ascii="Garamond" w:hAnsi="Garamond"/>
                <w:sz w:val="16"/>
                <w:szCs w:val="18"/>
              </w:rPr>
              <w:t xml:space="preserve">Dynamika </w:t>
            </w:r>
            <w:r w:rsidR="00CB52EE" w:rsidRPr="00145E5A">
              <w:rPr>
                <w:rFonts w:ascii="Garamond" w:hAnsi="Garamond"/>
                <w:sz w:val="16"/>
                <w:szCs w:val="18"/>
              </w:rPr>
              <w:t>[</w:t>
            </w:r>
            <w:r w:rsidR="00220681" w:rsidRPr="00145E5A">
              <w:rPr>
                <w:rFonts w:ascii="Garamond" w:hAnsi="Garamond"/>
                <w:sz w:val="16"/>
                <w:szCs w:val="18"/>
              </w:rPr>
              <w:t>2013-2007</w:t>
            </w:r>
            <w:r w:rsidR="00CB52EE" w:rsidRPr="00145E5A">
              <w:rPr>
                <w:rFonts w:ascii="Garamond" w:hAnsi="Garamond"/>
                <w:sz w:val="16"/>
                <w:szCs w:val="18"/>
              </w:rPr>
              <w:t>]</w:t>
            </w:r>
          </w:p>
        </w:tc>
      </w:tr>
      <w:tr w:rsidR="007443A6" w:rsidTr="007443A6">
        <w:tc>
          <w:tcPr>
            <w:tcW w:w="1578" w:type="dxa"/>
          </w:tcPr>
          <w:p w:rsidR="00AA6B94" w:rsidRPr="00226C00" w:rsidRDefault="00AA6B94" w:rsidP="002C018E">
            <w:pPr>
              <w:jc w:val="both"/>
              <w:rPr>
                <w:rFonts w:ascii="Garamond" w:hAnsi="Garamond"/>
                <w:sz w:val="18"/>
                <w:szCs w:val="18"/>
              </w:rPr>
            </w:pPr>
            <w:r>
              <w:rPr>
                <w:rFonts w:ascii="Garamond" w:hAnsi="Garamond"/>
                <w:sz w:val="18"/>
                <w:szCs w:val="18"/>
              </w:rPr>
              <w:t>Hel (m)</w:t>
            </w:r>
          </w:p>
        </w:tc>
        <w:tc>
          <w:tcPr>
            <w:tcW w:w="938"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3 668</w:t>
            </w:r>
          </w:p>
        </w:tc>
        <w:tc>
          <w:tcPr>
            <w:tcW w:w="588"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3,5</w:t>
            </w:r>
          </w:p>
        </w:tc>
        <w:tc>
          <w:tcPr>
            <w:tcW w:w="952"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96,2</w:t>
            </w:r>
          </w:p>
        </w:tc>
        <w:tc>
          <w:tcPr>
            <w:tcW w:w="812"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166,7</w:t>
            </w:r>
          </w:p>
        </w:tc>
        <w:tc>
          <w:tcPr>
            <w:tcW w:w="993" w:type="dxa"/>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-6,6</w:t>
            </w:r>
          </w:p>
        </w:tc>
        <w:tc>
          <w:tcPr>
            <w:tcW w:w="546" w:type="dxa"/>
            <w:vAlign w:val="bottom"/>
          </w:tcPr>
          <w:p w:rsidR="00AA6B94" w:rsidRPr="00226C00" w:rsidRDefault="00AA6B94" w:rsidP="00EC1B26">
            <w:pPr>
              <w:jc w:val="right"/>
              <w:rPr>
                <w:rFonts w:ascii="Garamond" w:hAnsi="Garamond" w:cs="Arial"/>
                <w:sz w:val="18"/>
                <w:szCs w:val="18"/>
              </w:rPr>
            </w:pPr>
            <w:r w:rsidRPr="00226C00">
              <w:rPr>
                <w:rFonts w:ascii="Garamond" w:hAnsi="Garamond" w:cs="Arial"/>
                <w:sz w:val="18"/>
                <w:szCs w:val="18"/>
              </w:rPr>
              <w:t>0,3</w:t>
            </w:r>
          </w:p>
        </w:tc>
        <w:tc>
          <w:tcPr>
            <w:tcW w:w="994" w:type="dxa"/>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-4,3</w:t>
            </w:r>
          </w:p>
        </w:tc>
        <w:tc>
          <w:tcPr>
            <w:tcW w:w="602" w:type="dxa"/>
            <w:vAlign w:val="bottom"/>
          </w:tcPr>
          <w:p w:rsidR="00AA6B94" w:rsidRPr="00AE4C9F" w:rsidRDefault="00AA6B94">
            <w:pPr>
              <w:jc w:val="right"/>
              <w:rPr>
                <w:rFonts w:ascii="Garamond" w:hAnsi="Garamond" w:cs="Arial"/>
                <w:sz w:val="18"/>
              </w:rPr>
            </w:pPr>
            <w:r w:rsidRPr="00AE4C9F">
              <w:rPr>
                <w:rFonts w:ascii="Garamond" w:hAnsi="Garamond" w:cs="Arial"/>
                <w:sz w:val="18"/>
              </w:rPr>
              <w:t>-22,1</w:t>
            </w:r>
          </w:p>
        </w:tc>
        <w:tc>
          <w:tcPr>
            <w:tcW w:w="1220" w:type="dxa"/>
            <w:vAlign w:val="bottom"/>
          </w:tcPr>
          <w:p w:rsidR="00AA6B94" w:rsidRPr="00AA6B94" w:rsidRDefault="00AA6B94">
            <w:pPr>
              <w:jc w:val="right"/>
              <w:rPr>
                <w:rFonts w:ascii="Garamond" w:hAnsi="Garamond" w:cs="Arial"/>
                <w:sz w:val="18"/>
              </w:rPr>
            </w:pPr>
            <w:r w:rsidRPr="00AA6B94">
              <w:rPr>
                <w:rFonts w:ascii="Garamond" w:hAnsi="Garamond" w:cs="Arial"/>
                <w:sz w:val="18"/>
              </w:rPr>
              <w:t>-3,7</w:t>
            </w:r>
          </w:p>
        </w:tc>
      </w:tr>
      <w:tr w:rsidR="007443A6" w:rsidTr="007443A6">
        <w:tc>
          <w:tcPr>
            <w:tcW w:w="1578" w:type="dxa"/>
            <w:shd w:val="clear" w:color="auto" w:fill="D9D9D9" w:themeFill="background1" w:themeFillShade="D9"/>
          </w:tcPr>
          <w:p w:rsidR="00AA6B94" w:rsidRPr="00226C00" w:rsidRDefault="00AA6B94" w:rsidP="002C018E">
            <w:pPr>
              <w:jc w:val="both"/>
              <w:rPr>
                <w:rFonts w:ascii="Garamond" w:hAnsi="Garamond"/>
                <w:sz w:val="18"/>
                <w:szCs w:val="18"/>
              </w:rPr>
            </w:pPr>
            <w:r w:rsidRPr="00226C00">
              <w:rPr>
                <w:rFonts w:ascii="Garamond" w:hAnsi="Garamond"/>
                <w:sz w:val="18"/>
                <w:szCs w:val="18"/>
              </w:rPr>
              <w:t>Jastarnia</w:t>
            </w:r>
            <w:r>
              <w:rPr>
                <w:rFonts w:ascii="Garamond" w:hAnsi="Garamond"/>
                <w:sz w:val="18"/>
                <w:szCs w:val="18"/>
              </w:rPr>
              <w:t xml:space="preserve"> (m)</w:t>
            </w:r>
            <w:r w:rsidRPr="00226C00">
              <w:rPr>
                <w:rFonts w:ascii="Garamond" w:hAnsi="Garamond"/>
                <w:sz w:val="18"/>
                <w:szCs w:val="18"/>
              </w:rPr>
              <w:t xml:space="preserve"> </w:t>
            </w:r>
          </w:p>
        </w:tc>
        <w:tc>
          <w:tcPr>
            <w:tcW w:w="938"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3 874</w:t>
            </w:r>
          </w:p>
        </w:tc>
        <w:tc>
          <w:tcPr>
            <w:tcW w:w="588"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3,7</w:t>
            </w:r>
          </w:p>
        </w:tc>
        <w:tc>
          <w:tcPr>
            <w:tcW w:w="952"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97,1</w:t>
            </w:r>
          </w:p>
        </w:tc>
        <w:tc>
          <w:tcPr>
            <w:tcW w:w="812"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484,3</w:t>
            </w:r>
          </w:p>
        </w:tc>
        <w:tc>
          <w:tcPr>
            <w:tcW w:w="993" w:type="dxa"/>
            <w:shd w:val="clear" w:color="auto" w:fill="D9D9D9" w:themeFill="background1" w:themeFillShade="D9"/>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-14,6</w:t>
            </w:r>
          </w:p>
        </w:tc>
        <w:tc>
          <w:tcPr>
            <w:tcW w:w="546" w:type="dxa"/>
            <w:shd w:val="clear" w:color="auto" w:fill="D9D9D9" w:themeFill="background1" w:themeFillShade="D9"/>
            <w:vAlign w:val="bottom"/>
          </w:tcPr>
          <w:p w:rsidR="00AA6B94" w:rsidRPr="00226C00" w:rsidRDefault="00AA6B94" w:rsidP="00EC1B26">
            <w:pPr>
              <w:jc w:val="right"/>
              <w:rPr>
                <w:rFonts w:ascii="Garamond" w:hAnsi="Garamond" w:cs="Arial"/>
                <w:sz w:val="18"/>
                <w:szCs w:val="18"/>
              </w:rPr>
            </w:pPr>
            <w:r w:rsidRPr="00226C00">
              <w:rPr>
                <w:rFonts w:ascii="Garamond" w:hAnsi="Garamond" w:cs="Arial"/>
                <w:sz w:val="18"/>
                <w:szCs w:val="18"/>
              </w:rPr>
              <w:t>5,9</w:t>
            </w:r>
          </w:p>
        </w:tc>
        <w:tc>
          <w:tcPr>
            <w:tcW w:w="994" w:type="dxa"/>
            <w:shd w:val="clear" w:color="auto" w:fill="D9D9D9" w:themeFill="background1" w:themeFillShade="D9"/>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6,4</w:t>
            </w:r>
          </w:p>
        </w:tc>
        <w:tc>
          <w:tcPr>
            <w:tcW w:w="602" w:type="dxa"/>
            <w:shd w:val="clear" w:color="auto" w:fill="D9D9D9" w:themeFill="background1" w:themeFillShade="D9"/>
            <w:vAlign w:val="bottom"/>
          </w:tcPr>
          <w:p w:rsidR="00AA6B94" w:rsidRPr="00AE4C9F" w:rsidRDefault="00AA6B94">
            <w:pPr>
              <w:jc w:val="right"/>
              <w:rPr>
                <w:rFonts w:ascii="Garamond" w:hAnsi="Garamond" w:cs="Arial"/>
                <w:sz w:val="18"/>
              </w:rPr>
            </w:pPr>
            <w:r w:rsidRPr="00AE4C9F">
              <w:rPr>
                <w:rFonts w:ascii="Garamond" w:hAnsi="Garamond" w:cs="Arial"/>
                <w:sz w:val="18"/>
              </w:rPr>
              <w:t>-8,8</w:t>
            </w:r>
          </w:p>
        </w:tc>
        <w:tc>
          <w:tcPr>
            <w:tcW w:w="1220" w:type="dxa"/>
            <w:shd w:val="clear" w:color="auto" w:fill="D9D9D9" w:themeFill="background1" w:themeFillShade="D9"/>
            <w:vAlign w:val="bottom"/>
          </w:tcPr>
          <w:p w:rsidR="00AA6B94" w:rsidRPr="00AA6B94" w:rsidRDefault="00AA6B94">
            <w:pPr>
              <w:jc w:val="right"/>
              <w:rPr>
                <w:rFonts w:ascii="Garamond" w:hAnsi="Garamond" w:cs="Arial"/>
                <w:sz w:val="18"/>
              </w:rPr>
            </w:pPr>
            <w:r w:rsidRPr="00AA6B94">
              <w:rPr>
                <w:rFonts w:ascii="Garamond" w:hAnsi="Garamond" w:cs="Arial"/>
                <w:sz w:val="18"/>
              </w:rPr>
              <w:t>-7,5</w:t>
            </w:r>
          </w:p>
        </w:tc>
      </w:tr>
      <w:tr w:rsidR="007443A6" w:rsidTr="007443A6">
        <w:tc>
          <w:tcPr>
            <w:tcW w:w="1578" w:type="dxa"/>
          </w:tcPr>
          <w:p w:rsidR="00AA6B94" w:rsidRPr="00226C00" w:rsidRDefault="00AA6B94" w:rsidP="002C018E">
            <w:pPr>
              <w:jc w:val="both"/>
              <w:rPr>
                <w:rFonts w:ascii="Garamond" w:hAnsi="Garamond"/>
                <w:sz w:val="18"/>
                <w:szCs w:val="18"/>
              </w:rPr>
            </w:pPr>
            <w:r w:rsidRPr="00226C00">
              <w:rPr>
                <w:rFonts w:ascii="Garamond" w:hAnsi="Garamond"/>
                <w:sz w:val="18"/>
                <w:szCs w:val="18"/>
              </w:rPr>
              <w:t xml:space="preserve">Puck </w:t>
            </w:r>
            <w:r>
              <w:rPr>
                <w:rFonts w:ascii="Garamond" w:hAnsi="Garamond"/>
                <w:sz w:val="18"/>
                <w:szCs w:val="18"/>
              </w:rPr>
              <w:t>(m)</w:t>
            </w:r>
          </w:p>
        </w:tc>
        <w:tc>
          <w:tcPr>
            <w:tcW w:w="938"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11 396</w:t>
            </w:r>
          </w:p>
        </w:tc>
        <w:tc>
          <w:tcPr>
            <w:tcW w:w="588"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10,9</w:t>
            </w:r>
          </w:p>
        </w:tc>
        <w:tc>
          <w:tcPr>
            <w:tcW w:w="952"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100,5</w:t>
            </w:r>
          </w:p>
        </w:tc>
        <w:tc>
          <w:tcPr>
            <w:tcW w:w="812"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2</w:t>
            </w:r>
            <w:r>
              <w:rPr>
                <w:rFonts w:ascii="Garamond" w:hAnsi="Garamond" w:cs="Arial"/>
                <w:sz w:val="18"/>
                <w:szCs w:val="18"/>
              </w:rPr>
              <w:t xml:space="preserve"> </w:t>
            </w:r>
            <w:r w:rsidRPr="00226C00">
              <w:rPr>
                <w:rFonts w:ascii="Garamond" w:hAnsi="Garamond" w:cs="Arial"/>
                <w:sz w:val="18"/>
                <w:szCs w:val="18"/>
              </w:rPr>
              <w:t>279,2</w:t>
            </w:r>
          </w:p>
        </w:tc>
        <w:tc>
          <w:tcPr>
            <w:tcW w:w="993" w:type="dxa"/>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10,6</w:t>
            </w:r>
          </w:p>
        </w:tc>
        <w:tc>
          <w:tcPr>
            <w:tcW w:w="546" w:type="dxa"/>
            <w:vAlign w:val="bottom"/>
          </w:tcPr>
          <w:p w:rsidR="00AA6B94" w:rsidRPr="00226C00" w:rsidRDefault="00AA6B94" w:rsidP="00EC1B26">
            <w:pPr>
              <w:jc w:val="right"/>
              <w:rPr>
                <w:rFonts w:ascii="Garamond" w:hAnsi="Garamond" w:cs="Arial"/>
                <w:sz w:val="18"/>
                <w:szCs w:val="18"/>
              </w:rPr>
            </w:pPr>
            <w:r w:rsidRPr="00226C00">
              <w:rPr>
                <w:rFonts w:ascii="Garamond" w:hAnsi="Garamond" w:cs="Arial"/>
                <w:sz w:val="18"/>
                <w:szCs w:val="18"/>
              </w:rPr>
              <w:t>-0,6</w:t>
            </w:r>
          </w:p>
        </w:tc>
        <w:tc>
          <w:tcPr>
            <w:tcW w:w="994" w:type="dxa"/>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-2,1</w:t>
            </w:r>
          </w:p>
        </w:tc>
        <w:tc>
          <w:tcPr>
            <w:tcW w:w="602" w:type="dxa"/>
            <w:vAlign w:val="bottom"/>
          </w:tcPr>
          <w:p w:rsidR="00AA6B94" w:rsidRPr="00AE4C9F" w:rsidRDefault="00AA6B94">
            <w:pPr>
              <w:jc w:val="right"/>
              <w:rPr>
                <w:rFonts w:ascii="Garamond" w:hAnsi="Garamond" w:cs="Arial"/>
                <w:sz w:val="18"/>
              </w:rPr>
            </w:pPr>
            <w:r w:rsidRPr="00AE4C9F">
              <w:rPr>
                <w:rFonts w:ascii="Garamond" w:hAnsi="Garamond" w:cs="Arial"/>
                <w:sz w:val="18"/>
              </w:rPr>
              <w:t>-6,4</w:t>
            </w:r>
          </w:p>
        </w:tc>
        <w:tc>
          <w:tcPr>
            <w:tcW w:w="1220" w:type="dxa"/>
            <w:vAlign w:val="bottom"/>
          </w:tcPr>
          <w:p w:rsidR="00AA6B94" w:rsidRPr="00AA6B94" w:rsidRDefault="00AA6B94">
            <w:pPr>
              <w:jc w:val="right"/>
              <w:rPr>
                <w:rFonts w:ascii="Garamond" w:hAnsi="Garamond" w:cs="Arial"/>
                <w:sz w:val="18"/>
              </w:rPr>
            </w:pPr>
            <w:r w:rsidRPr="00AA6B94">
              <w:rPr>
                <w:rFonts w:ascii="Garamond" w:hAnsi="Garamond" w:cs="Arial"/>
                <w:sz w:val="18"/>
              </w:rPr>
              <w:t>-4,0</w:t>
            </w:r>
          </w:p>
        </w:tc>
      </w:tr>
      <w:tr w:rsidR="007443A6" w:rsidTr="007443A6">
        <w:tc>
          <w:tcPr>
            <w:tcW w:w="1578" w:type="dxa"/>
            <w:shd w:val="clear" w:color="auto" w:fill="D9D9D9" w:themeFill="background1" w:themeFillShade="D9"/>
          </w:tcPr>
          <w:p w:rsidR="00AA6B94" w:rsidRPr="00226C00" w:rsidRDefault="00AA6B94" w:rsidP="002C018E">
            <w:pPr>
              <w:jc w:val="both"/>
              <w:rPr>
                <w:rFonts w:ascii="Garamond" w:hAnsi="Garamond"/>
                <w:sz w:val="18"/>
                <w:szCs w:val="18"/>
              </w:rPr>
            </w:pPr>
            <w:r w:rsidRPr="00226C00">
              <w:rPr>
                <w:rFonts w:ascii="Garamond" w:hAnsi="Garamond"/>
                <w:sz w:val="18"/>
                <w:szCs w:val="18"/>
              </w:rPr>
              <w:t>Władysławowo</w:t>
            </w:r>
            <w:r>
              <w:rPr>
                <w:rFonts w:ascii="Garamond" w:hAnsi="Garamond"/>
                <w:sz w:val="18"/>
                <w:szCs w:val="18"/>
              </w:rPr>
              <w:t xml:space="preserve"> (m)</w:t>
            </w:r>
            <w:r w:rsidRPr="00226C00">
              <w:rPr>
                <w:rFonts w:ascii="Garamond" w:hAnsi="Garamond"/>
                <w:sz w:val="18"/>
                <w:szCs w:val="18"/>
              </w:rPr>
              <w:t xml:space="preserve"> </w:t>
            </w:r>
          </w:p>
        </w:tc>
        <w:tc>
          <w:tcPr>
            <w:tcW w:w="938"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15 400</w:t>
            </w:r>
          </w:p>
        </w:tc>
        <w:tc>
          <w:tcPr>
            <w:tcW w:w="588"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14,7</w:t>
            </w:r>
          </w:p>
        </w:tc>
        <w:tc>
          <w:tcPr>
            <w:tcW w:w="952"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103,0</w:t>
            </w:r>
          </w:p>
        </w:tc>
        <w:tc>
          <w:tcPr>
            <w:tcW w:w="812"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394,9</w:t>
            </w:r>
          </w:p>
        </w:tc>
        <w:tc>
          <w:tcPr>
            <w:tcW w:w="993" w:type="dxa"/>
            <w:shd w:val="clear" w:color="auto" w:fill="D9D9D9" w:themeFill="background1" w:themeFillShade="D9"/>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11,6</w:t>
            </w:r>
          </w:p>
        </w:tc>
        <w:tc>
          <w:tcPr>
            <w:tcW w:w="546" w:type="dxa"/>
            <w:shd w:val="clear" w:color="auto" w:fill="D9D9D9" w:themeFill="background1" w:themeFillShade="D9"/>
            <w:vAlign w:val="bottom"/>
          </w:tcPr>
          <w:p w:rsidR="00AA6B94" w:rsidRPr="00226C00" w:rsidRDefault="00AA6B94" w:rsidP="00EC1B26">
            <w:pPr>
              <w:jc w:val="right"/>
              <w:rPr>
                <w:rFonts w:ascii="Garamond" w:hAnsi="Garamond" w:cs="Arial"/>
                <w:sz w:val="18"/>
                <w:szCs w:val="18"/>
              </w:rPr>
            </w:pPr>
            <w:r w:rsidRPr="00226C00">
              <w:rPr>
                <w:rFonts w:ascii="Garamond" w:hAnsi="Garamond" w:cs="Arial"/>
                <w:sz w:val="18"/>
                <w:szCs w:val="18"/>
              </w:rPr>
              <w:t>1,6</w:t>
            </w:r>
          </w:p>
        </w:tc>
        <w:tc>
          <w:tcPr>
            <w:tcW w:w="994" w:type="dxa"/>
            <w:shd w:val="clear" w:color="auto" w:fill="D9D9D9" w:themeFill="background1" w:themeFillShade="D9"/>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-3,9</w:t>
            </w:r>
          </w:p>
        </w:tc>
        <w:tc>
          <w:tcPr>
            <w:tcW w:w="602" w:type="dxa"/>
            <w:shd w:val="clear" w:color="auto" w:fill="D9D9D9" w:themeFill="background1" w:themeFillShade="D9"/>
            <w:vAlign w:val="bottom"/>
          </w:tcPr>
          <w:p w:rsidR="00AA6B94" w:rsidRPr="00AE4C9F" w:rsidRDefault="00AA6B94">
            <w:pPr>
              <w:jc w:val="right"/>
              <w:rPr>
                <w:rFonts w:ascii="Garamond" w:hAnsi="Garamond" w:cs="Arial"/>
                <w:sz w:val="18"/>
              </w:rPr>
            </w:pPr>
            <w:r w:rsidRPr="00AE4C9F">
              <w:rPr>
                <w:rFonts w:ascii="Garamond" w:hAnsi="Garamond" w:cs="Arial"/>
                <w:sz w:val="18"/>
              </w:rPr>
              <w:t>-2,9</w:t>
            </w:r>
          </w:p>
        </w:tc>
        <w:tc>
          <w:tcPr>
            <w:tcW w:w="1220" w:type="dxa"/>
            <w:shd w:val="clear" w:color="auto" w:fill="D9D9D9" w:themeFill="background1" w:themeFillShade="D9"/>
            <w:vAlign w:val="bottom"/>
          </w:tcPr>
          <w:p w:rsidR="00AA6B94" w:rsidRPr="00AA6B94" w:rsidRDefault="00AA6B94">
            <w:pPr>
              <w:jc w:val="right"/>
              <w:rPr>
                <w:rFonts w:ascii="Garamond" w:hAnsi="Garamond" w:cs="Arial"/>
                <w:sz w:val="18"/>
              </w:rPr>
            </w:pPr>
            <w:r w:rsidRPr="00AA6B94">
              <w:rPr>
                <w:rFonts w:ascii="Garamond" w:hAnsi="Garamond" w:cs="Arial"/>
                <w:sz w:val="18"/>
              </w:rPr>
              <w:t>1,1</w:t>
            </w:r>
          </w:p>
        </w:tc>
      </w:tr>
      <w:tr w:rsidR="007443A6" w:rsidTr="007443A6">
        <w:tc>
          <w:tcPr>
            <w:tcW w:w="1578" w:type="dxa"/>
          </w:tcPr>
          <w:p w:rsidR="00AA6B94" w:rsidRPr="00226C00" w:rsidRDefault="00AA6B94" w:rsidP="002C018E">
            <w:pPr>
              <w:jc w:val="both"/>
              <w:rPr>
                <w:rFonts w:ascii="Garamond" w:hAnsi="Garamond"/>
                <w:sz w:val="18"/>
                <w:szCs w:val="18"/>
              </w:rPr>
            </w:pPr>
            <w:r w:rsidRPr="00226C00">
              <w:rPr>
                <w:rFonts w:ascii="Garamond" w:hAnsi="Garamond"/>
                <w:sz w:val="18"/>
                <w:szCs w:val="18"/>
              </w:rPr>
              <w:t>Kosakowo</w:t>
            </w:r>
          </w:p>
        </w:tc>
        <w:tc>
          <w:tcPr>
            <w:tcW w:w="938"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11 751</w:t>
            </w:r>
          </w:p>
        </w:tc>
        <w:tc>
          <w:tcPr>
            <w:tcW w:w="588"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11,2</w:t>
            </w:r>
          </w:p>
        </w:tc>
        <w:tc>
          <w:tcPr>
            <w:tcW w:w="952"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132,7</w:t>
            </w:r>
          </w:p>
        </w:tc>
        <w:tc>
          <w:tcPr>
            <w:tcW w:w="812"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235,0</w:t>
            </w:r>
          </w:p>
        </w:tc>
        <w:tc>
          <w:tcPr>
            <w:tcW w:w="993" w:type="dxa"/>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57,9</w:t>
            </w:r>
          </w:p>
        </w:tc>
        <w:tc>
          <w:tcPr>
            <w:tcW w:w="546" w:type="dxa"/>
            <w:vAlign w:val="bottom"/>
          </w:tcPr>
          <w:p w:rsidR="00AA6B94" w:rsidRPr="00226C00" w:rsidRDefault="00AA6B94" w:rsidP="00EC1B26">
            <w:pPr>
              <w:jc w:val="right"/>
              <w:rPr>
                <w:rFonts w:ascii="Garamond" w:hAnsi="Garamond" w:cs="Arial"/>
                <w:sz w:val="18"/>
                <w:szCs w:val="18"/>
              </w:rPr>
            </w:pPr>
            <w:r w:rsidRPr="00226C00">
              <w:rPr>
                <w:rFonts w:ascii="Garamond" w:hAnsi="Garamond" w:cs="Arial"/>
                <w:sz w:val="18"/>
                <w:szCs w:val="18"/>
              </w:rPr>
              <w:t>7,3</w:t>
            </w:r>
          </w:p>
        </w:tc>
        <w:tc>
          <w:tcPr>
            <w:tcW w:w="994" w:type="dxa"/>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-0,5</w:t>
            </w:r>
          </w:p>
        </w:tc>
        <w:tc>
          <w:tcPr>
            <w:tcW w:w="602" w:type="dxa"/>
            <w:vAlign w:val="bottom"/>
          </w:tcPr>
          <w:p w:rsidR="00AA6B94" w:rsidRPr="00AE4C9F" w:rsidRDefault="00AA6B94">
            <w:pPr>
              <w:jc w:val="right"/>
              <w:rPr>
                <w:rFonts w:ascii="Garamond" w:hAnsi="Garamond" w:cs="Arial"/>
                <w:sz w:val="18"/>
              </w:rPr>
            </w:pPr>
            <w:r w:rsidRPr="00AE4C9F">
              <w:rPr>
                <w:rFonts w:ascii="Garamond" w:hAnsi="Garamond" w:cs="Arial"/>
                <w:sz w:val="18"/>
              </w:rPr>
              <w:t>49,4</w:t>
            </w:r>
          </w:p>
        </w:tc>
        <w:tc>
          <w:tcPr>
            <w:tcW w:w="1220" w:type="dxa"/>
            <w:vAlign w:val="bottom"/>
          </w:tcPr>
          <w:p w:rsidR="00AA6B94" w:rsidRPr="00AA6B94" w:rsidRDefault="00AA6B94">
            <w:pPr>
              <w:jc w:val="right"/>
              <w:rPr>
                <w:rFonts w:ascii="Garamond" w:hAnsi="Garamond" w:cs="Arial"/>
                <w:sz w:val="18"/>
              </w:rPr>
            </w:pPr>
            <w:r w:rsidRPr="00AA6B94">
              <w:rPr>
                <w:rFonts w:ascii="Garamond" w:hAnsi="Garamond" w:cs="Arial"/>
                <w:sz w:val="18"/>
              </w:rPr>
              <w:t>6,6</w:t>
            </w:r>
          </w:p>
        </w:tc>
      </w:tr>
      <w:tr w:rsidR="007443A6" w:rsidTr="007443A6">
        <w:tc>
          <w:tcPr>
            <w:tcW w:w="1578" w:type="dxa"/>
            <w:shd w:val="clear" w:color="auto" w:fill="D9D9D9" w:themeFill="background1" w:themeFillShade="D9"/>
          </w:tcPr>
          <w:p w:rsidR="00AA6B94" w:rsidRPr="00226C00" w:rsidRDefault="00AA6B94" w:rsidP="002C018E">
            <w:pPr>
              <w:jc w:val="both"/>
              <w:rPr>
                <w:rFonts w:ascii="Garamond" w:hAnsi="Garamond"/>
                <w:sz w:val="18"/>
                <w:szCs w:val="18"/>
              </w:rPr>
            </w:pPr>
            <w:r w:rsidRPr="00226C00">
              <w:rPr>
                <w:rFonts w:ascii="Garamond" w:hAnsi="Garamond"/>
                <w:sz w:val="18"/>
                <w:szCs w:val="18"/>
              </w:rPr>
              <w:t xml:space="preserve">Krokowa </w:t>
            </w:r>
          </w:p>
        </w:tc>
        <w:tc>
          <w:tcPr>
            <w:tcW w:w="938"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10 658</w:t>
            </w:r>
          </w:p>
        </w:tc>
        <w:tc>
          <w:tcPr>
            <w:tcW w:w="588"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10,2</w:t>
            </w:r>
          </w:p>
        </w:tc>
        <w:tc>
          <w:tcPr>
            <w:tcW w:w="952"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104,2</w:t>
            </w:r>
          </w:p>
        </w:tc>
        <w:tc>
          <w:tcPr>
            <w:tcW w:w="812"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50,5</w:t>
            </w:r>
          </w:p>
        </w:tc>
        <w:tc>
          <w:tcPr>
            <w:tcW w:w="993" w:type="dxa"/>
            <w:shd w:val="clear" w:color="auto" w:fill="D9D9D9" w:themeFill="background1" w:themeFillShade="D9"/>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2,0</w:t>
            </w:r>
          </w:p>
        </w:tc>
        <w:tc>
          <w:tcPr>
            <w:tcW w:w="546" w:type="dxa"/>
            <w:shd w:val="clear" w:color="auto" w:fill="D9D9D9" w:themeFill="background1" w:themeFillShade="D9"/>
            <w:vAlign w:val="bottom"/>
          </w:tcPr>
          <w:p w:rsidR="00AA6B94" w:rsidRPr="00226C00" w:rsidRDefault="00AA6B94" w:rsidP="00EC1B26">
            <w:pPr>
              <w:jc w:val="right"/>
              <w:rPr>
                <w:rFonts w:ascii="Garamond" w:hAnsi="Garamond" w:cs="Arial"/>
                <w:sz w:val="18"/>
                <w:szCs w:val="18"/>
              </w:rPr>
            </w:pPr>
            <w:r w:rsidRPr="00226C00">
              <w:rPr>
                <w:rFonts w:ascii="Garamond" w:hAnsi="Garamond" w:cs="Arial"/>
                <w:sz w:val="18"/>
                <w:szCs w:val="18"/>
              </w:rPr>
              <w:t>3,7</w:t>
            </w:r>
          </w:p>
        </w:tc>
        <w:tc>
          <w:tcPr>
            <w:tcW w:w="994" w:type="dxa"/>
            <w:shd w:val="clear" w:color="auto" w:fill="D9D9D9" w:themeFill="background1" w:themeFillShade="D9"/>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-5,1</w:t>
            </w:r>
          </w:p>
        </w:tc>
        <w:tc>
          <w:tcPr>
            <w:tcW w:w="602" w:type="dxa"/>
            <w:shd w:val="clear" w:color="auto" w:fill="D9D9D9" w:themeFill="background1" w:themeFillShade="D9"/>
            <w:vAlign w:val="bottom"/>
          </w:tcPr>
          <w:p w:rsidR="00AA6B94" w:rsidRPr="00AE4C9F" w:rsidRDefault="00AA6B94">
            <w:pPr>
              <w:jc w:val="right"/>
              <w:rPr>
                <w:rFonts w:ascii="Garamond" w:hAnsi="Garamond" w:cs="Arial"/>
                <w:sz w:val="18"/>
              </w:rPr>
            </w:pPr>
            <w:r w:rsidRPr="00AE4C9F">
              <w:rPr>
                <w:rFonts w:ascii="Garamond" w:hAnsi="Garamond" w:cs="Arial"/>
                <w:sz w:val="18"/>
              </w:rPr>
              <w:t>1,6</w:t>
            </w:r>
          </w:p>
        </w:tc>
        <w:tc>
          <w:tcPr>
            <w:tcW w:w="1220" w:type="dxa"/>
            <w:shd w:val="clear" w:color="auto" w:fill="D9D9D9" w:themeFill="background1" w:themeFillShade="D9"/>
            <w:vAlign w:val="bottom"/>
          </w:tcPr>
          <w:p w:rsidR="00AA6B94" w:rsidRPr="00AA6B94" w:rsidRDefault="00AA6B94">
            <w:pPr>
              <w:jc w:val="right"/>
              <w:rPr>
                <w:rFonts w:ascii="Garamond" w:hAnsi="Garamond" w:cs="Arial"/>
                <w:sz w:val="18"/>
              </w:rPr>
            </w:pPr>
            <w:r w:rsidRPr="00AA6B94">
              <w:rPr>
                <w:rFonts w:ascii="Garamond" w:hAnsi="Garamond" w:cs="Arial"/>
                <w:sz w:val="18"/>
              </w:rPr>
              <w:t>-0,7</w:t>
            </w:r>
          </w:p>
        </w:tc>
      </w:tr>
      <w:tr w:rsidR="007443A6" w:rsidTr="007443A6">
        <w:tc>
          <w:tcPr>
            <w:tcW w:w="1578" w:type="dxa"/>
          </w:tcPr>
          <w:p w:rsidR="00AA6B94" w:rsidRPr="00226C00" w:rsidRDefault="00AA6B94" w:rsidP="002C018E">
            <w:pPr>
              <w:jc w:val="both"/>
              <w:rPr>
                <w:rFonts w:ascii="Garamond" w:hAnsi="Garamond"/>
                <w:sz w:val="18"/>
                <w:szCs w:val="18"/>
              </w:rPr>
            </w:pPr>
            <w:r w:rsidRPr="00226C00">
              <w:rPr>
                <w:rFonts w:ascii="Garamond" w:hAnsi="Garamond"/>
                <w:sz w:val="18"/>
                <w:szCs w:val="18"/>
              </w:rPr>
              <w:lastRenderedPageBreak/>
              <w:t>Puck</w:t>
            </w:r>
          </w:p>
        </w:tc>
        <w:tc>
          <w:tcPr>
            <w:tcW w:w="938"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24 850</w:t>
            </w:r>
          </w:p>
        </w:tc>
        <w:tc>
          <w:tcPr>
            <w:tcW w:w="588"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23,7</w:t>
            </w:r>
          </w:p>
        </w:tc>
        <w:tc>
          <w:tcPr>
            <w:tcW w:w="952"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110,4</w:t>
            </w:r>
          </w:p>
        </w:tc>
        <w:tc>
          <w:tcPr>
            <w:tcW w:w="812" w:type="dxa"/>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104,9</w:t>
            </w:r>
          </w:p>
        </w:tc>
        <w:tc>
          <w:tcPr>
            <w:tcW w:w="993" w:type="dxa"/>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11,8</w:t>
            </w:r>
          </w:p>
        </w:tc>
        <w:tc>
          <w:tcPr>
            <w:tcW w:w="546" w:type="dxa"/>
            <w:vAlign w:val="bottom"/>
          </w:tcPr>
          <w:p w:rsidR="00AA6B94" w:rsidRPr="00226C00" w:rsidRDefault="00AA6B94" w:rsidP="00EC1B26">
            <w:pPr>
              <w:jc w:val="right"/>
              <w:rPr>
                <w:rFonts w:ascii="Garamond" w:hAnsi="Garamond" w:cs="Arial"/>
                <w:sz w:val="18"/>
                <w:szCs w:val="18"/>
              </w:rPr>
            </w:pPr>
            <w:r w:rsidRPr="00226C00">
              <w:rPr>
                <w:rFonts w:ascii="Garamond" w:hAnsi="Garamond" w:cs="Arial"/>
                <w:sz w:val="18"/>
                <w:szCs w:val="18"/>
              </w:rPr>
              <w:t>4,9</w:t>
            </w:r>
          </w:p>
        </w:tc>
        <w:tc>
          <w:tcPr>
            <w:tcW w:w="994" w:type="dxa"/>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-1,8</w:t>
            </w:r>
          </w:p>
        </w:tc>
        <w:tc>
          <w:tcPr>
            <w:tcW w:w="602" w:type="dxa"/>
            <w:vAlign w:val="bottom"/>
          </w:tcPr>
          <w:p w:rsidR="00AA6B94" w:rsidRPr="00AE4C9F" w:rsidRDefault="00AA6B94">
            <w:pPr>
              <w:jc w:val="right"/>
              <w:rPr>
                <w:rFonts w:ascii="Garamond" w:hAnsi="Garamond" w:cs="Arial"/>
                <w:sz w:val="18"/>
              </w:rPr>
            </w:pPr>
            <w:r w:rsidRPr="00AE4C9F">
              <w:rPr>
                <w:rFonts w:ascii="Garamond" w:hAnsi="Garamond" w:cs="Arial"/>
                <w:sz w:val="18"/>
              </w:rPr>
              <w:t>6,0</w:t>
            </w:r>
          </w:p>
        </w:tc>
        <w:tc>
          <w:tcPr>
            <w:tcW w:w="1220" w:type="dxa"/>
            <w:vAlign w:val="bottom"/>
          </w:tcPr>
          <w:p w:rsidR="00AA6B94" w:rsidRPr="00AA6B94" w:rsidRDefault="00AA6B94">
            <w:pPr>
              <w:jc w:val="right"/>
              <w:rPr>
                <w:rFonts w:ascii="Garamond" w:hAnsi="Garamond" w:cs="Arial"/>
                <w:sz w:val="18"/>
              </w:rPr>
            </w:pPr>
            <w:r w:rsidRPr="00AA6B94">
              <w:rPr>
                <w:rFonts w:ascii="Garamond" w:hAnsi="Garamond" w:cs="Arial"/>
                <w:sz w:val="18"/>
              </w:rPr>
              <w:t>-8,0</w:t>
            </w:r>
          </w:p>
        </w:tc>
      </w:tr>
      <w:tr w:rsidR="007443A6" w:rsidTr="007443A6">
        <w:tc>
          <w:tcPr>
            <w:tcW w:w="1578" w:type="dxa"/>
            <w:shd w:val="clear" w:color="auto" w:fill="D9D9D9" w:themeFill="background1" w:themeFillShade="D9"/>
          </w:tcPr>
          <w:p w:rsidR="00AA6B94" w:rsidRPr="00226C00" w:rsidRDefault="00AA6B94" w:rsidP="00626F53">
            <w:pPr>
              <w:jc w:val="both"/>
              <w:rPr>
                <w:rFonts w:ascii="Garamond" w:hAnsi="Garamond"/>
                <w:sz w:val="18"/>
                <w:szCs w:val="18"/>
              </w:rPr>
            </w:pPr>
            <w:r w:rsidRPr="00226C00">
              <w:rPr>
                <w:rFonts w:ascii="Garamond" w:hAnsi="Garamond"/>
                <w:sz w:val="18"/>
                <w:szCs w:val="18"/>
              </w:rPr>
              <w:t xml:space="preserve">Wejherowo </w:t>
            </w:r>
          </w:p>
        </w:tc>
        <w:tc>
          <w:tcPr>
            <w:tcW w:w="938" w:type="dxa"/>
            <w:shd w:val="clear" w:color="auto" w:fill="D9D9D9" w:themeFill="background1" w:themeFillShade="D9"/>
          </w:tcPr>
          <w:p w:rsidR="00AA6B94" w:rsidRPr="00226C00" w:rsidRDefault="00AA6B94" w:rsidP="00A009F9">
            <w:pPr>
              <w:jc w:val="right"/>
              <w:rPr>
                <w:rFonts w:ascii="Garamond" w:hAnsi="Garamond"/>
                <w:sz w:val="18"/>
                <w:szCs w:val="18"/>
              </w:rPr>
            </w:pPr>
            <w:r w:rsidRPr="00226C00">
              <w:rPr>
                <w:rFonts w:ascii="Garamond" w:hAnsi="Garamond"/>
                <w:sz w:val="18"/>
                <w:szCs w:val="18"/>
              </w:rPr>
              <w:t>23 039</w:t>
            </w:r>
          </w:p>
        </w:tc>
        <w:tc>
          <w:tcPr>
            <w:tcW w:w="588"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22,0</w:t>
            </w:r>
          </w:p>
        </w:tc>
        <w:tc>
          <w:tcPr>
            <w:tcW w:w="952"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116,4</w:t>
            </w:r>
          </w:p>
        </w:tc>
        <w:tc>
          <w:tcPr>
            <w:tcW w:w="812" w:type="dxa"/>
            <w:shd w:val="clear" w:color="auto" w:fill="D9D9D9" w:themeFill="background1" w:themeFillShade="D9"/>
            <w:vAlign w:val="bottom"/>
          </w:tcPr>
          <w:p w:rsidR="00AA6B94" w:rsidRPr="00226C00" w:rsidRDefault="00AA6B94" w:rsidP="00A009F9">
            <w:pPr>
              <w:jc w:val="right"/>
              <w:rPr>
                <w:rFonts w:ascii="Garamond" w:hAnsi="Garamond" w:cs="Arial"/>
                <w:sz w:val="18"/>
                <w:szCs w:val="18"/>
              </w:rPr>
            </w:pPr>
            <w:r w:rsidRPr="00226C00">
              <w:rPr>
                <w:rFonts w:ascii="Garamond" w:hAnsi="Garamond" w:cs="Arial"/>
                <w:sz w:val="18"/>
                <w:szCs w:val="18"/>
              </w:rPr>
              <w:t>118,8</w:t>
            </w:r>
          </w:p>
        </w:tc>
        <w:tc>
          <w:tcPr>
            <w:tcW w:w="993" w:type="dxa"/>
            <w:shd w:val="clear" w:color="auto" w:fill="D9D9D9" w:themeFill="background1" w:themeFillShade="D9"/>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16,8</w:t>
            </w:r>
          </w:p>
        </w:tc>
        <w:tc>
          <w:tcPr>
            <w:tcW w:w="546" w:type="dxa"/>
            <w:shd w:val="clear" w:color="auto" w:fill="D9D9D9" w:themeFill="background1" w:themeFillShade="D9"/>
            <w:vAlign w:val="bottom"/>
          </w:tcPr>
          <w:p w:rsidR="00AA6B94" w:rsidRPr="00226C00" w:rsidRDefault="00AA6B94" w:rsidP="00EC1B26">
            <w:pPr>
              <w:jc w:val="right"/>
              <w:rPr>
                <w:rFonts w:ascii="Garamond" w:hAnsi="Garamond" w:cs="Arial"/>
                <w:sz w:val="18"/>
                <w:szCs w:val="18"/>
              </w:rPr>
            </w:pPr>
            <w:r w:rsidRPr="00226C00">
              <w:rPr>
                <w:rFonts w:ascii="Garamond" w:hAnsi="Garamond" w:cs="Arial"/>
                <w:sz w:val="18"/>
                <w:szCs w:val="18"/>
              </w:rPr>
              <w:t>8,0</w:t>
            </w:r>
          </w:p>
        </w:tc>
        <w:tc>
          <w:tcPr>
            <w:tcW w:w="994" w:type="dxa"/>
            <w:shd w:val="clear" w:color="auto" w:fill="D9D9D9" w:themeFill="background1" w:themeFillShade="D9"/>
            <w:vAlign w:val="bottom"/>
          </w:tcPr>
          <w:p w:rsidR="00AA6B94" w:rsidRPr="00CB52EE" w:rsidRDefault="00AA6B94">
            <w:pPr>
              <w:jc w:val="right"/>
              <w:rPr>
                <w:rFonts w:ascii="Garamond" w:hAnsi="Garamond" w:cs="Arial"/>
                <w:sz w:val="18"/>
                <w:szCs w:val="18"/>
              </w:rPr>
            </w:pPr>
            <w:r w:rsidRPr="00CB52EE">
              <w:rPr>
                <w:rFonts w:ascii="Garamond" w:hAnsi="Garamond" w:cs="Arial"/>
                <w:sz w:val="18"/>
                <w:szCs w:val="18"/>
              </w:rPr>
              <w:t>-2,8</w:t>
            </w:r>
          </w:p>
        </w:tc>
        <w:tc>
          <w:tcPr>
            <w:tcW w:w="602" w:type="dxa"/>
            <w:shd w:val="clear" w:color="auto" w:fill="D9D9D9" w:themeFill="background1" w:themeFillShade="D9"/>
            <w:vAlign w:val="bottom"/>
          </w:tcPr>
          <w:p w:rsidR="00AA6B94" w:rsidRPr="00AE4C9F" w:rsidRDefault="00AA6B94">
            <w:pPr>
              <w:jc w:val="right"/>
              <w:rPr>
                <w:rFonts w:ascii="Garamond" w:hAnsi="Garamond" w:cs="Arial"/>
                <w:sz w:val="18"/>
              </w:rPr>
            </w:pPr>
            <w:r w:rsidRPr="00AE4C9F">
              <w:rPr>
                <w:rFonts w:ascii="Garamond" w:hAnsi="Garamond" w:cs="Arial"/>
                <w:sz w:val="18"/>
              </w:rPr>
              <w:t>38,1</w:t>
            </w:r>
          </w:p>
        </w:tc>
        <w:tc>
          <w:tcPr>
            <w:tcW w:w="1220" w:type="dxa"/>
            <w:shd w:val="clear" w:color="auto" w:fill="D9D9D9" w:themeFill="background1" w:themeFillShade="D9"/>
            <w:vAlign w:val="bottom"/>
          </w:tcPr>
          <w:p w:rsidR="00AA6B94" w:rsidRPr="00AA6B94" w:rsidRDefault="00AA6B94">
            <w:pPr>
              <w:jc w:val="right"/>
              <w:rPr>
                <w:rFonts w:ascii="Garamond" w:hAnsi="Garamond" w:cs="Arial"/>
                <w:sz w:val="18"/>
              </w:rPr>
            </w:pPr>
            <w:r w:rsidRPr="00AA6B94">
              <w:rPr>
                <w:rFonts w:ascii="Garamond" w:hAnsi="Garamond" w:cs="Arial"/>
                <w:sz w:val="18"/>
              </w:rPr>
              <w:t>-9,6</w:t>
            </w:r>
          </w:p>
        </w:tc>
      </w:tr>
      <w:tr w:rsidR="007443A6" w:rsidTr="007443A6">
        <w:tc>
          <w:tcPr>
            <w:tcW w:w="1578" w:type="dxa"/>
            <w:shd w:val="clear" w:color="auto" w:fill="B8CCE4" w:themeFill="accent1" w:themeFillTint="66"/>
          </w:tcPr>
          <w:p w:rsidR="00AA6B94" w:rsidRPr="00312E82" w:rsidRDefault="00AA6B94" w:rsidP="00626F53">
            <w:pPr>
              <w:jc w:val="both"/>
              <w:rPr>
                <w:rFonts w:ascii="Garamond" w:hAnsi="Garamond"/>
                <w:b/>
                <w:sz w:val="18"/>
                <w:szCs w:val="18"/>
              </w:rPr>
            </w:pPr>
            <w:r w:rsidRPr="00312E82">
              <w:rPr>
                <w:rFonts w:ascii="Garamond" w:hAnsi="Garamond"/>
                <w:b/>
                <w:sz w:val="18"/>
                <w:szCs w:val="18"/>
              </w:rPr>
              <w:t>PLGR</w:t>
            </w:r>
          </w:p>
        </w:tc>
        <w:tc>
          <w:tcPr>
            <w:tcW w:w="938" w:type="dxa"/>
            <w:shd w:val="clear" w:color="auto" w:fill="B8CCE4" w:themeFill="accent1" w:themeFillTint="66"/>
          </w:tcPr>
          <w:p w:rsidR="00AA6B94" w:rsidRPr="00312E82" w:rsidRDefault="00AA6B94" w:rsidP="00A009F9">
            <w:pPr>
              <w:jc w:val="right"/>
              <w:rPr>
                <w:rFonts w:ascii="Garamond" w:hAnsi="Garamond"/>
                <w:b/>
                <w:sz w:val="18"/>
                <w:szCs w:val="18"/>
              </w:rPr>
            </w:pPr>
            <w:r w:rsidRPr="00312E82">
              <w:rPr>
                <w:rFonts w:ascii="Garamond" w:hAnsi="Garamond"/>
                <w:b/>
                <w:sz w:val="18"/>
                <w:szCs w:val="18"/>
              </w:rPr>
              <w:t>104 636</w:t>
            </w:r>
          </w:p>
        </w:tc>
        <w:tc>
          <w:tcPr>
            <w:tcW w:w="588" w:type="dxa"/>
            <w:shd w:val="clear" w:color="auto" w:fill="B8CCE4" w:themeFill="accent1" w:themeFillTint="66"/>
            <w:vAlign w:val="bottom"/>
          </w:tcPr>
          <w:p w:rsidR="00AA6B94" w:rsidRPr="00312E82" w:rsidRDefault="00AA6B94" w:rsidP="00A009F9">
            <w:pPr>
              <w:jc w:val="right"/>
              <w:rPr>
                <w:rFonts w:ascii="Garamond" w:hAnsi="Garamond" w:cs="Arial"/>
                <w:b/>
                <w:sz w:val="18"/>
                <w:szCs w:val="18"/>
              </w:rPr>
            </w:pPr>
            <w:r w:rsidRPr="00312E82">
              <w:rPr>
                <w:rFonts w:ascii="Garamond" w:hAnsi="Garamond" w:cs="Arial"/>
                <w:b/>
                <w:sz w:val="18"/>
                <w:szCs w:val="18"/>
              </w:rPr>
              <w:t>100,0</w:t>
            </w:r>
          </w:p>
        </w:tc>
        <w:tc>
          <w:tcPr>
            <w:tcW w:w="952" w:type="dxa"/>
            <w:shd w:val="clear" w:color="auto" w:fill="B8CCE4" w:themeFill="accent1" w:themeFillTint="66"/>
            <w:vAlign w:val="bottom"/>
          </w:tcPr>
          <w:p w:rsidR="00AA6B94" w:rsidRPr="00312E82" w:rsidRDefault="00AA6B94" w:rsidP="00A009F9">
            <w:pPr>
              <w:jc w:val="right"/>
              <w:rPr>
                <w:rFonts w:ascii="Garamond" w:hAnsi="Garamond" w:cs="Arial"/>
                <w:b/>
                <w:sz w:val="18"/>
                <w:szCs w:val="18"/>
              </w:rPr>
            </w:pPr>
            <w:r w:rsidRPr="00312E82">
              <w:rPr>
                <w:rFonts w:ascii="Garamond" w:hAnsi="Garamond" w:cs="Arial"/>
                <w:b/>
                <w:sz w:val="18"/>
                <w:szCs w:val="18"/>
              </w:rPr>
              <w:t>103,8</w:t>
            </w:r>
          </w:p>
        </w:tc>
        <w:tc>
          <w:tcPr>
            <w:tcW w:w="812" w:type="dxa"/>
            <w:shd w:val="clear" w:color="auto" w:fill="B8CCE4" w:themeFill="accent1" w:themeFillTint="66"/>
            <w:vAlign w:val="bottom"/>
          </w:tcPr>
          <w:p w:rsidR="00AA6B94" w:rsidRPr="00312E82" w:rsidRDefault="00AA6B94" w:rsidP="00A009F9">
            <w:pPr>
              <w:jc w:val="right"/>
              <w:rPr>
                <w:rFonts w:ascii="Garamond" w:hAnsi="Garamond" w:cs="Arial"/>
                <w:b/>
                <w:sz w:val="18"/>
                <w:szCs w:val="18"/>
              </w:rPr>
            </w:pPr>
            <w:r w:rsidRPr="00312E82">
              <w:rPr>
                <w:rFonts w:ascii="Garamond" w:hAnsi="Garamond" w:cs="Arial"/>
                <w:b/>
                <w:sz w:val="18"/>
                <w:szCs w:val="18"/>
              </w:rPr>
              <w:t>136,6</w:t>
            </w:r>
          </w:p>
        </w:tc>
        <w:tc>
          <w:tcPr>
            <w:tcW w:w="993" w:type="dxa"/>
            <w:shd w:val="clear" w:color="auto" w:fill="B8CCE4" w:themeFill="accent1" w:themeFillTint="66"/>
            <w:vAlign w:val="bottom"/>
          </w:tcPr>
          <w:p w:rsidR="00AA6B94" w:rsidRPr="00312E82" w:rsidRDefault="00AA6B94">
            <w:pPr>
              <w:jc w:val="right"/>
              <w:rPr>
                <w:rFonts w:ascii="Garamond" w:hAnsi="Garamond" w:cs="Arial"/>
                <w:b/>
                <w:sz w:val="18"/>
                <w:szCs w:val="18"/>
              </w:rPr>
            </w:pPr>
            <w:r w:rsidRPr="00312E82">
              <w:rPr>
                <w:rFonts w:ascii="Garamond" w:hAnsi="Garamond" w:cs="Arial"/>
                <w:b/>
                <w:sz w:val="18"/>
                <w:szCs w:val="18"/>
              </w:rPr>
              <w:t>12,8</w:t>
            </w:r>
          </w:p>
        </w:tc>
        <w:tc>
          <w:tcPr>
            <w:tcW w:w="546" w:type="dxa"/>
            <w:shd w:val="clear" w:color="auto" w:fill="B8CCE4" w:themeFill="accent1" w:themeFillTint="66"/>
            <w:vAlign w:val="bottom"/>
          </w:tcPr>
          <w:p w:rsidR="00AA6B94" w:rsidRPr="00312E82" w:rsidRDefault="00AA6B94" w:rsidP="00EC1B26">
            <w:pPr>
              <w:jc w:val="right"/>
              <w:rPr>
                <w:rFonts w:ascii="Garamond" w:hAnsi="Garamond" w:cs="Arial"/>
                <w:b/>
                <w:sz w:val="18"/>
                <w:szCs w:val="18"/>
              </w:rPr>
            </w:pPr>
            <w:r w:rsidRPr="00312E82">
              <w:rPr>
                <w:rFonts w:ascii="Garamond" w:hAnsi="Garamond" w:cs="Arial"/>
                <w:b/>
                <w:sz w:val="18"/>
                <w:szCs w:val="18"/>
              </w:rPr>
              <w:t>4,4</w:t>
            </w:r>
          </w:p>
        </w:tc>
        <w:tc>
          <w:tcPr>
            <w:tcW w:w="994" w:type="dxa"/>
            <w:shd w:val="clear" w:color="auto" w:fill="B8CCE4" w:themeFill="accent1" w:themeFillTint="66"/>
            <w:vAlign w:val="bottom"/>
          </w:tcPr>
          <w:p w:rsidR="00AA6B94" w:rsidRPr="00312E82" w:rsidRDefault="00AA6B94">
            <w:pPr>
              <w:jc w:val="right"/>
              <w:rPr>
                <w:rFonts w:ascii="Garamond" w:hAnsi="Garamond" w:cs="Arial"/>
                <w:b/>
                <w:sz w:val="18"/>
                <w:szCs w:val="18"/>
              </w:rPr>
            </w:pPr>
            <w:r w:rsidRPr="00312E82">
              <w:rPr>
                <w:rFonts w:ascii="Garamond" w:hAnsi="Garamond" w:cs="Arial"/>
                <w:b/>
                <w:sz w:val="18"/>
                <w:szCs w:val="18"/>
              </w:rPr>
              <w:t>-2,2</w:t>
            </w:r>
          </w:p>
        </w:tc>
        <w:tc>
          <w:tcPr>
            <w:tcW w:w="602" w:type="dxa"/>
            <w:shd w:val="clear" w:color="auto" w:fill="B8CCE4" w:themeFill="accent1" w:themeFillTint="66"/>
            <w:vAlign w:val="bottom"/>
          </w:tcPr>
          <w:p w:rsidR="00AA6B94" w:rsidRPr="00312E82" w:rsidRDefault="00AA6B94" w:rsidP="00EC1B26">
            <w:pPr>
              <w:jc w:val="right"/>
              <w:rPr>
                <w:rFonts w:ascii="Garamond" w:hAnsi="Garamond" w:cs="Arial"/>
                <w:b/>
                <w:sz w:val="18"/>
                <w:szCs w:val="18"/>
              </w:rPr>
            </w:pPr>
            <w:r>
              <w:rPr>
                <w:rFonts w:ascii="Garamond" w:hAnsi="Garamond" w:cs="Arial"/>
                <w:b/>
                <w:sz w:val="18"/>
                <w:szCs w:val="18"/>
              </w:rPr>
              <w:t>8,9</w:t>
            </w:r>
          </w:p>
        </w:tc>
        <w:tc>
          <w:tcPr>
            <w:tcW w:w="1220" w:type="dxa"/>
            <w:shd w:val="clear" w:color="auto" w:fill="B8CCE4" w:themeFill="accent1" w:themeFillTint="66"/>
            <w:vAlign w:val="bottom"/>
          </w:tcPr>
          <w:p w:rsidR="00AA6B94" w:rsidRPr="00312E82" w:rsidRDefault="00AA6B94">
            <w:pPr>
              <w:jc w:val="right"/>
              <w:rPr>
                <w:rFonts w:ascii="Garamond" w:hAnsi="Garamond" w:cs="Arial"/>
                <w:b/>
                <w:sz w:val="18"/>
              </w:rPr>
            </w:pPr>
            <w:r>
              <w:rPr>
                <w:rFonts w:ascii="Garamond" w:hAnsi="Garamond" w:cs="Arial"/>
                <w:b/>
                <w:sz w:val="18"/>
              </w:rPr>
              <w:t>-2,7</w:t>
            </w:r>
          </w:p>
        </w:tc>
      </w:tr>
      <w:tr w:rsidR="007443A6" w:rsidTr="007443A6">
        <w:tc>
          <w:tcPr>
            <w:tcW w:w="1578" w:type="dxa"/>
            <w:shd w:val="clear" w:color="auto" w:fill="B8CCE4" w:themeFill="accent1" w:themeFillTint="66"/>
            <w:vAlign w:val="center"/>
          </w:tcPr>
          <w:p w:rsidR="00AA6B94" w:rsidRPr="00CD4DBF" w:rsidRDefault="00AA6B94" w:rsidP="003F7BE9">
            <w:pPr>
              <w:rPr>
                <w:rFonts w:ascii="Garamond" w:hAnsi="Garamond"/>
                <w:sz w:val="18"/>
                <w:szCs w:val="18"/>
              </w:rPr>
            </w:pPr>
            <w:r w:rsidRPr="00CD4DBF">
              <w:rPr>
                <w:rFonts w:ascii="Garamond" w:hAnsi="Garamond"/>
                <w:sz w:val="18"/>
                <w:szCs w:val="18"/>
              </w:rPr>
              <w:t>Województwo pomorskie</w:t>
            </w:r>
          </w:p>
        </w:tc>
        <w:tc>
          <w:tcPr>
            <w:tcW w:w="938" w:type="dxa"/>
            <w:shd w:val="clear" w:color="auto" w:fill="B8CCE4" w:themeFill="accent1" w:themeFillTint="66"/>
            <w:vAlign w:val="center"/>
          </w:tcPr>
          <w:p w:rsidR="00AA6B94" w:rsidRPr="00664EE9" w:rsidRDefault="00AA6B94" w:rsidP="003F7BE9">
            <w:pPr>
              <w:jc w:val="right"/>
              <w:rPr>
                <w:rFonts w:ascii="Garamond" w:hAnsi="Garamond"/>
                <w:sz w:val="18"/>
                <w:szCs w:val="18"/>
              </w:rPr>
            </w:pPr>
            <w:r w:rsidRPr="00664EE9">
              <w:rPr>
                <w:rFonts w:ascii="Garamond" w:hAnsi="Garamond"/>
                <w:sz w:val="18"/>
                <w:szCs w:val="18"/>
              </w:rPr>
              <w:t>2 295 811</w:t>
            </w:r>
          </w:p>
        </w:tc>
        <w:tc>
          <w:tcPr>
            <w:tcW w:w="588" w:type="dxa"/>
            <w:shd w:val="clear" w:color="auto" w:fill="B8CCE4" w:themeFill="accent1" w:themeFillTint="66"/>
            <w:vAlign w:val="center"/>
          </w:tcPr>
          <w:p w:rsidR="00AA6B94" w:rsidRPr="00312E82" w:rsidRDefault="00AA6B94" w:rsidP="003F7BE9">
            <w:pPr>
              <w:jc w:val="right"/>
              <w:rPr>
                <w:rFonts w:ascii="Garamond" w:hAnsi="Garamond" w:cs="Arial"/>
                <w:b/>
                <w:sz w:val="18"/>
                <w:szCs w:val="18"/>
              </w:rPr>
            </w:pPr>
            <w:r>
              <w:rPr>
                <w:rFonts w:ascii="Garamond" w:hAnsi="Garamond" w:cs="Arial"/>
                <w:b/>
                <w:sz w:val="18"/>
                <w:szCs w:val="18"/>
              </w:rPr>
              <w:t>-</w:t>
            </w:r>
          </w:p>
        </w:tc>
        <w:tc>
          <w:tcPr>
            <w:tcW w:w="952" w:type="dxa"/>
            <w:shd w:val="clear" w:color="auto" w:fill="B8CCE4" w:themeFill="accent1" w:themeFillTint="66"/>
            <w:vAlign w:val="center"/>
          </w:tcPr>
          <w:p w:rsidR="00AA6B94" w:rsidRPr="003F7BE9" w:rsidRDefault="00AA6B94" w:rsidP="003F7BE9">
            <w:pPr>
              <w:jc w:val="right"/>
              <w:rPr>
                <w:rFonts w:ascii="Garamond" w:hAnsi="Garamond" w:cs="Arial"/>
                <w:sz w:val="18"/>
                <w:szCs w:val="18"/>
              </w:rPr>
            </w:pPr>
            <w:r w:rsidRPr="003F7BE9">
              <w:rPr>
                <w:rFonts w:ascii="Garamond" w:hAnsi="Garamond" w:cs="Arial"/>
                <w:sz w:val="18"/>
                <w:szCs w:val="18"/>
              </w:rPr>
              <w:t>103,8</w:t>
            </w:r>
          </w:p>
        </w:tc>
        <w:tc>
          <w:tcPr>
            <w:tcW w:w="812" w:type="dxa"/>
            <w:shd w:val="clear" w:color="auto" w:fill="B8CCE4" w:themeFill="accent1" w:themeFillTint="66"/>
            <w:vAlign w:val="center"/>
          </w:tcPr>
          <w:p w:rsidR="00AA6B94" w:rsidRPr="003F7BE9" w:rsidRDefault="00AA6B94" w:rsidP="003F7BE9">
            <w:pPr>
              <w:jc w:val="right"/>
              <w:rPr>
                <w:rFonts w:ascii="Garamond" w:hAnsi="Garamond" w:cs="Arial"/>
                <w:sz w:val="18"/>
                <w:szCs w:val="18"/>
              </w:rPr>
            </w:pPr>
            <w:r w:rsidRPr="003F7BE9">
              <w:rPr>
                <w:rFonts w:ascii="Garamond" w:hAnsi="Garamond" w:cs="Arial"/>
                <w:sz w:val="18"/>
                <w:szCs w:val="18"/>
              </w:rPr>
              <w:t>125,0</w:t>
            </w:r>
          </w:p>
        </w:tc>
        <w:tc>
          <w:tcPr>
            <w:tcW w:w="993" w:type="dxa"/>
            <w:shd w:val="clear" w:color="auto" w:fill="B8CCE4" w:themeFill="accent1" w:themeFillTint="66"/>
            <w:vAlign w:val="center"/>
          </w:tcPr>
          <w:p w:rsidR="00AA6B94" w:rsidRPr="003F7BE9" w:rsidRDefault="00AA6B94" w:rsidP="003F7BE9">
            <w:pPr>
              <w:jc w:val="right"/>
              <w:rPr>
                <w:rFonts w:ascii="Garamond" w:hAnsi="Garamond" w:cs="Arial"/>
                <w:sz w:val="18"/>
                <w:szCs w:val="18"/>
              </w:rPr>
            </w:pPr>
            <w:r w:rsidRPr="003F7BE9">
              <w:rPr>
                <w:rFonts w:ascii="Garamond" w:hAnsi="Garamond" w:cs="Arial"/>
                <w:sz w:val="18"/>
                <w:szCs w:val="18"/>
              </w:rPr>
              <w:t>4,0</w:t>
            </w:r>
          </w:p>
        </w:tc>
        <w:tc>
          <w:tcPr>
            <w:tcW w:w="546" w:type="dxa"/>
            <w:shd w:val="clear" w:color="auto" w:fill="B8CCE4" w:themeFill="accent1" w:themeFillTint="66"/>
            <w:vAlign w:val="center"/>
          </w:tcPr>
          <w:p w:rsidR="00AA6B94" w:rsidRPr="003F7BE9" w:rsidRDefault="00AA6B94" w:rsidP="003F7BE9">
            <w:pPr>
              <w:jc w:val="right"/>
              <w:rPr>
                <w:rFonts w:ascii="Garamond" w:hAnsi="Garamond" w:cs="Arial"/>
                <w:sz w:val="18"/>
                <w:szCs w:val="18"/>
              </w:rPr>
            </w:pPr>
            <w:r>
              <w:rPr>
                <w:rFonts w:ascii="Garamond" w:hAnsi="Garamond" w:cs="Arial"/>
                <w:sz w:val="18"/>
                <w:szCs w:val="18"/>
              </w:rPr>
              <w:t>1,7</w:t>
            </w:r>
          </w:p>
        </w:tc>
        <w:tc>
          <w:tcPr>
            <w:tcW w:w="994" w:type="dxa"/>
            <w:shd w:val="clear" w:color="auto" w:fill="B8CCE4" w:themeFill="accent1" w:themeFillTint="66"/>
            <w:vAlign w:val="center"/>
          </w:tcPr>
          <w:p w:rsidR="00AA6B94" w:rsidRPr="003F7BE9" w:rsidRDefault="00AA6B94" w:rsidP="003F7BE9">
            <w:pPr>
              <w:jc w:val="right"/>
              <w:rPr>
                <w:rFonts w:ascii="Garamond" w:hAnsi="Garamond" w:cs="Arial"/>
                <w:sz w:val="18"/>
                <w:szCs w:val="18"/>
              </w:rPr>
            </w:pPr>
            <w:r>
              <w:rPr>
                <w:rFonts w:ascii="Garamond" w:hAnsi="Garamond" w:cs="Arial"/>
                <w:sz w:val="18"/>
                <w:szCs w:val="18"/>
              </w:rPr>
              <w:t>-1,0</w:t>
            </w:r>
          </w:p>
        </w:tc>
        <w:tc>
          <w:tcPr>
            <w:tcW w:w="602" w:type="dxa"/>
            <w:shd w:val="clear" w:color="auto" w:fill="B8CCE4" w:themeFill="accent1" w:themeFillTint="66"/>
            <w:vAlign w:val="center"/>
          </w:tcPr>
          <w:p w:rsidR="00AA6B94" w:rsidRPr="003F7BE9" w:rsidRDefault="00AA6B94" w:rsidP="00AE4C9F">
            <w:pPr>
              <w:jc w:val="right"/>
              <w:rPr>
                <w:rFonts w:ascii="Garamond" w:hAnsi="Garamond" w:cs="Arial"/>
                <w:sz w:val="18"/>
                <w:szCs w:val="18"/>
              </w:rPr>
            </w:pPr>
            <w:r>
              <w:rPr>
                <w:rFonts w:ascii="Garamond" w:hAnsi="Garamond" w:cs="Arial"/>
                <w:sz w:val="18"/>
                <w:szCs w:val="18"/>
              </w:rPr>
              <w:t>0,8</w:t>
            </w:r>
          </w:p>
        </w:tc>
        <w:tc>
          <w:tcPr>
            <w:tcW w:w="1220" w:type="dxa"/>
            <w:shd w:val="clear" w:color="auto" w:fill="B8CCE4" w:themeFill="accent1" w:themeFillTint="66"/>
            <w:vAlign w:val="center"/>
          </w:tcPr>
          <w:p w:rsidR="00AA6B94" w:rsidRPr="003F7BE9" w:rsidRDefault="00B32DC6" w:rsidP="003F7BE9">
            <w:pPr>
              <w:jc w:val="right"/>
              <w:rPr>
                <w:rFonts w:ascii="Garamond" w:hAnsi="Garamond" w:cs="Arial"/>
                <w:sz w:val="18"/>
              </w:rPr>
            </w:pPr>
            <w:r>
              <w:rPr>
                <w:rFonts w:ascii="Garamond" w:hAnsi="Garamond" w:cs="Arial"/>
                <w:sz w:val="18"/>
              </w:rPr>
              <w:t>0,2</w:t>
            </w:r>
          </w:p>
        </w:tc>
      </w:tr>
      <w:tr w:rsidR="007443A6" w:rsidTr="007443A6">
        <w:tc>
          <w:tcPr>
            <w:tcW w:w="1578" w:type="dxa"/>
            <w:shd w:val="clear" w:color="auto" w:fill="B8CCE4" w:themeFill="accent1" w:themeFillTint="66"/>
          </w:tcPr>
          <w:p w:rsidR="00AA6B94" w:rsidRPr="00664EE9" w:rsidRDefault="00AA6B94" w:rsidP="00626F53">
            <w:pPr>
              <w:jc w:val="both"/>
              <w:rPr>
                <w:rFonts w:ascii="Garamond" w:hAnsi="Garamond"/>
                <w:sz w:val="18"/>
                <w:szCs w:val="18"/>
              </w:rPr>
            </w:pPr>
            <w:r w:rsidRPr="00664EE9">
              <w:rPr>
                <w:rFonts w:ascii="Garamond" w:hAnsi="Garamond"/>
                <w:sz w:val="18"/>
                <w:szCs w:val="18"/>
              </w:rPr>
              <w:t>Polska</w:t>
            </w:r>
          </w:p>
        </w:tc>
        <w:tc>
          <w:tcPr>
            <w:tcW w:w="938" w:type="dxa"/>
            <w:shd w:val="clear" w:color="auto" w:fill="B8CCE4" w:themeFill="accent1" w:themeFillTint="66"/>
          </w:tcPr>
          <w:p w:rsidR="00AA6B94" w:rsidRPr="00664EE9" w:rsidRDefault="00AA6B94" w:rsidP="00A009F9">
            <w:pPr>
              <w:jc w:val="right"/>
              <w:rPr>
                <w:rFonts w:ascii="Garamond" w:hAnsi="Garamond"/>
                <w:sz w:val="18"/>
                <w:szCs w:val="18"/>
              </w:rPr>
            </w:pPr>
            <w:r w:rsidRPr="00664EE9">
              <w:rPr>
                <w:rFonts w:ascii="Garamond" w:hAnsi="Garamond"/>
                <w:sz w:val="18"/>
                <w:szCs w:val="18"/>
              </w:rPr>
              <w:t>38</w:t>
            </w:r>
            <w:r>
              <w:rPr>
                <w:rFonts w:ascii="Garamond" w:hAnsi="Garamond"/>
                <w:sz w:val="18"/>
                <w:szCs w:val="18"/>
              </w:rPr>
              <w:t xml:space="preserve"> </w:t>
            </w:r>
            <w:r w:rsidRPr="00664EE9">
              <w:rPr>
                <w:rFonts w:ascii="Garamond" w:hAnsi="Garamond"/>
                <w:sz w:val="18"/>
                <w:szCs w:val="18"/>
              </w:rPr>
              <w:t>495659</w:t>
            </w:r>
          </w:p>
        </w:tc>
        <w:tc>
          <w:tcPr>
            <w:tcW w:w="588" w:type="dxa"/>
            <w:shd w:val="clear" w:color="auto" w:fill="B8CCE4" w:themeFill="accent1" w:themeFillTint="66"/>
            <w:vAlign w:val="bottom"/>
          </w:tcPr>
          <w:p w:rsidR="00AA6B94" w:rsidRPr="00312E82" w:rsidRDefault="00AA6B94" w:rsidP="00A009F9">
            <w:pPr>
              <w:jc w:val="right"/>
              <w:rPr>
                <w:rFonts w:ascii="Garamond" w:hAnsi="Garamond" w:cs="Arial"/>
                <w:b/>
                <w:sz w:val="18"/>
                <w:szCs w:val="18"/>
              </w:rPr>
            </w:pPr>
            <w:r>
              <w:rPr>
                <w:rFonts w:ascii="Garamond" w:hAnsi="Garamond" w:cs="Arial"/>
                <w:b/>
                <w:sz w:val="18"/>
                <w:szCs w:val="18"/>
              </w:rPr>
              <w:t>-</w:t>
            </w:r>
          </w:p>
        </w:tc>
        <w:tc>
          <w:tcPr>
            <w:tcW w:w="952" w:type="dxa"/>
            <w:shd w:val="clear" w:color="auto" w:fill="B8CCE4" w:themeFill="accent1" w:themeFillTint="66"/>
            <w:vAlign w:val="bottom"/>
          </w:tcPr>
          <w:p w:rsidR="00AA6B94" w:rsidRPr="003F7BE9" w:rsidRDefault="00AA6B94" w:rsidP="00A009F9">
            <w:pPr>
              <w:jc w:val="right"/>
              <w:rPr>
                <w:rFonts w:ascii="Garamond" w:hAnsi="Garamond" w:cs="Arial"/>
                <w:sz w:val="18"/>
                <w:szCs w:val="18"/>
              </w:rPr>
            </w:pPr>
            <w:r w:rsidRPr="003F7BE9">
              <w:rPr>
                <w:rFonts w:ascii="Garamond" w:hAnsi="Garamond" w:cs="Arial"/>
                <w:sz w:val="18"/>
                <w:szCs w:val="18"/>
              </w:rPr>
              <w:t>100,9</w:t>
            </w:r>
          </w:p>
        </w:tc>
        <w:tc>
          <w:tcPr>
            <w:tcW w:w="812" w:type="dxa"/>
            <w:shd w:val="clear" w:color="auto" w:fill="B8CCE4" w:themeFill="accent1" w:themeFillTint="66"/>
            <w:vAlign w:val="bottom"/>
          </w:tcPr>
          <w:p w:rsidR="00AA6B94" w:rsidRPr="003F7BE9" w:rsidRDefault="00AA6B94" w:rsidP="00A009F9">
            <w:pPr>
              <w:jc w:val="right"/>
              <w:rPr>
                <w:rFonts w:ascii="Garamond" w:hAnsi="Garamond" w:cs="Arial"/>
                <w:sz w:val="18"/>
                <w:szCs w:val="18"/>
              </w:rPr>
            </w:pPr>
            <w:r w:rsidRPr="003F7BE9">
              <w:rPr>
                <w:rFonts w:ascii="Garamond" w:hAnsi="Garamond" w:cs="Arial"/>
                <w:sz w:val="18"/>
                <w:szCs w:val="18"/>
              </w:rPr>
              <w:t>123,0</w:t>
            </w:r>
          </w:p>
        </w:tc>
        <w:tc>
          <w:tcPr>
            <w:tcW w:w="993" w:type="dxa"/>
            <w:shd w:val="clear" w:color="auto" w:fill="B8CCE4" w:themeFill="accent1" w:themeFillTint="66"/>
            <w:vAlign w:val="bottom"/>
          </w:tcPr>
          <w:p w:rsidR="00AA6B94" w:rsidRPr="003F7BE9" w:rsidRDefault="00AA6B94">
            <w:pPr>
              <w:jc w:val="right"/>
              <w:rPr>
                <w:rFonts w:ascii="Garamond" w:hAnsi="Garamond" w:cs="Arial"/>
                <w:sz w:val="18"/>
                <w:szCs w:val="18"/>
              </w:rPr>
            </w:pPr>
            <w:r w:rsidRPr="003F7BE9">
              <w:rPr>
                <w:rFonts w:ascii="Garamond" w:hAnsi="Garamond" w:cs="Arial"/>
                <w:sz w:val="18"/>
                <w:szCs w:val="18"/>
              </w:rPr>
              <w:t>1,0</w:t>
            </w:r>
          </w:p>
        </w:tc>
        <w:tc>
          <w:tcPr>
            <w:tcW w:w="546" w:type="dxa"/>
            <w:shd w:val="clear" w:color="auto" w:fill="B8CCE4" w:themeFill="accent1" w:themeFillTint="66"/>
            <w:vAlign w:val="bottom"/>
          </w:tcPr>
          <w:p w:rsidR="00AA6B94" w:rsidRPr="003F7BE9" w:rsidRDefault="00AA6B94" w:rsidP="00EC1B26">
            <w:pPr>
              <w:jc w:val="right"/>
              <w:rPr>
                <w:rFonts w:ascii="Garamond" w:hAnsi="Garamond" w:cs="Arial"/>
                <w:sz w:val="18"/>
                <w:szCs w:val="18"/>
              </w:rPr>
            </w:pPr>
            <w:r>
              <w:rPr>
                <w:rFonts w:ascii="Garamond" w:hAnsi="Garamond" w:cs="Arial"/>
                <w:sz w:val="18"/>
                <w:szCs w:val="18"/>
              </w:rPr>
              <w:t>-0,5</w:t>
            </w:r>
          </w:p>
        </w:tc>
        <w:tc>
          <w:tcPr>
            <w:tcW w:w="994" w:type="dxa"/>
            <w:shd w:val="clear" w:color="auto" w:fill="B8CCE4" w:themeFill="accent1" w:themeFillTint="66"/>
            <w:vAlign w:val="bottom"/>
          </w:tcPr>
          <w:p w:rsidR="00AA6B94" w:rsidRPr="003F7BE9" w:rsidRDefault="00AA6B94">
            <w:pPr>
              <w:jc w:val="right"/>
              <w:rPr>
                <w:rFonts w:ascii="Garamond" w:hAnsi="Garamond" w:cs="Arial"/>
                <w:sz w:val="18"/>
                <w:szCs w:val="18"/>
              </w:rPr>
            </w:pPr>
            <w:r>
              <w:rPr>
                <w:rFonts w:ascii="Garamond" w:hAnsi="Garamond" w:cs="Arial"/>
                <w:sz w:val="18"/>
                <w:szCs w:val="18"/>
              </w:rPr>
              <w:t>-0,8</w:t>
            </w:r>
          </w:p>
        </w:tc>
        <w:tc>
          <w:tcPr>
            <w:tcW w:w="602" w:type="dxa"/>
            <w:shd w:val="clear" w:color="auto" w:fill="B8CCE4" w:themeFill="accent1" w:themeFillTint="66"/>
            <w:vAlign w:val="bottom"/>
          </w:tcPr>
          <w:p w:rsidR="00AA6B94" w:rsidRPr="003F7BE9" w:rsidRDefault="00AA6B94" w:rsidP="00EC1B26">
            <w:pPr>
              <w:jc w:val="right"/>
              <w:rPr>
                <w:rFonts w:ascii="Garamond" w:hAnsi="Garamond" w:cs="Arial"/>
                <w:sz w:val="18"/>
                <w:szCs w:val="18"/>
              </w:rPr>
            </w:pPr>
            <w:r>
              <w:rPr>
                <w:rFonts w:ascii="Garamond" w:hAnsi="Garamond" w:cs="Arial"/>
                <w:sz w:val="18"/>
                <w:szCs w:val="18"/>
              </w:rPr>
              <w:t>-0,5</w:t>
            </w:r>
          </w:p>
        </w:tc>
        <w:tc>
          <w:tcPr>
            <w:tcW w:w="1220" w:type="dxa"/>
            <w:shd w:val="clear" w:color="auto" w:fill="B8CCE4" w:themeFill="accent1" w:themeFillTint="66"/>
            <w:vAlign w:val="bottom"/>
          </w:tcPr>
          <w:p w:rsidR="00AA6B94" w:rsidRPr="003F7BE9" w:rsidRDefault="00B32DC6">
            <w:pPr>
              <w:jc w:val="right"/>
              <w:rPr>
                <w:rFonts w:ascii="Garamond" w:hAnsi="Garamond" w:cs="Arial"/>
                <w:sz w:val="18"/>
              </w:rPr>
            </w:pPr>
            <w:r>
              <w:rPr>
                <w:rFonts w:ascii="Garamond" w:hAnsi="Garamond" w:cs="Arial"/>
                <w:sz w:val="18"/>
              </w:rPr>
              <w:t>0,0</w:t>
            </w:r>
          </w:p>
        </w:tc>
      </w:tr>
    </w:tbl>
    <w:p w:rsidR="00C021AF" w:rsidRPr="00C021AF" w:rsidRDefault="00145E5A" w:rsidP="00626F53">
      <w:pPr>
        <w:spacing w:after="0"/>
        <w:jc w:val="both"/>
        <w:rPr>
          <w:rFonts w:ascii="Garamond" w:hAnsi="Garamond"/>
          <w:szCs w:val="22"/>
        </w:rPr>
      </w:pPr>
      <w:r>
        <w:rPr>
          <w:rFonts w:ascii="Garamond" w:hAnsi="Garamond"/>
          <w:szCs w:val="22"/>
        </w:rPr>
        <w:t>(</w:t>
      </w:r>
      <w:r w:rsidR="00C021AF" w:rsidRPr="00C021AF">
        <w:rPr>
          <w:rFonts w:ascii="Garamond" w:hAnsi="Garamond"/>
          <w:szCs w:val="22"/>
        </w:rPr>
        <w:t>m</w:t>
      </w:r>
      <w:r>
        <w:rPr>
          <w:rFonts w:ascii="Garamond" w:hAnsi="Garamond"/>
          <w:szCs w:val="22"/>
        </w:rPr>
        <w:t xml:space="preserve">) </w:t>
      </w:r>
      <w:r w:rsidR="00C021AF" w:rsidRPr="00C021AF">
        <w:rPr>
          <w:rFonts w:ascii="Garamond" w:hAnsi="Garamond"/>
          <w:szCs w:val="22"/>
        </w:rPr>
        <w:t>- gmina miejska</w:t>
      </w:r>
    </w:p>
    <w:p w:rsidR="002C018E" w:rsidRPr="00737C47" w:rsidRDefault="00F179D2" w:rsidP="00626F53">
      <w:pPr>
        <w:spacing w:after="0"/>
        <w:jc w:val="both"/>
        <w:rPr>
          <w:rFonts w:ascii="Garamond" w:hAnsi="Garamond"/>
          <w:i/>
          <w:szCs w:val="22"/>
        </w:rPr>
      </w:pPr>
      <w:r w:rsidRPr="00737C47">
        <w:rPr>
          <w:rFonts w:ascii="Garamond" w:hAnsi="Garamond"/>
          <w:i/>
          <w:szCs w:val="22"/>
        </w:rPr>
        <w:t xml:space="preserve">Źródło: Opracowanie własne na podstawie danych </w:t>
      </w:r>
      <w:proofErr w:type="spellStart"/>
      <w:r w:rsidRPr="00737C47">
        <w:rPr>
          <w:rFonts w:ascii="Garamond" w:hAnsi="Garamond"/>
          <w:i/>
          <w:szCs w:val="22"/>
        </w:rPr>
        <w:t>GUS-BDL</w:t>
      </w:r>
      <w:proofErr w:type="spellEnd"/>
    </w:p>
    <w:p w:rsidR="002C018E" w:rsidRDefault="002C018E" w:rsidP="00626F53">
      <w:pPr>
        <w:spacing w:after="0"/>
        <w:jc w:val="both"/>
        <w:rPr>
          <w:rFonts w:ascii="Garamond" w:hAnsi="Garamond"/>
          <w:sz w:val="22"/>
          <w:szCs w:val="22"/>
        </w:rPr>
      </w:pPr>
    </w:p>
    <w:p w:rsidR="00472369" w:rsidRPr="005E7297" w:rsidRDefault="00472369" w:rsidP="00472369">
      <w:pPr>
        <w:jc w:val="both"/>
        <w:rPr>
          <w:rFonts w:ascii="Garamond" w:hAnsi="Garamond"/>
          <w:sz w:val="22"/>
          <w:szCs w:val="22"/>
        </w:rPr>
      </w:pPr>
      <w:r w:rsidRPr="005E7297">
        <w:rPr>
          <w:rFonts w:ascii="Garamond" w:hAnsi="Garamond"/>
          <w:sz w:val="22"/>
          <w:szCs w:val="22"/>
        </w:rPr>
        <w:t xml:space="preserve">W strukturze ludności obszaru PLGR </w:t>
      </w:r>
      <w:r w:rsidRPr="005E7297">
        <w:rPr>
          <w:rFonts w:ascii="Garamond" w:hAnsi="Garamond"/>
          <w:b/>
          <w:color w:val="0070C0"/>
          <w:sz w:val="22"/>
          <w:szCs w:val="22"/>
        </w:rPr>
        <w:t>zachowana jest równowaga płciowa</w:t>
      </w:r>
      <w:r w:rsidRPr="005E7297">
        <w:rPr>
          <w:rFonts w:ascii="Garamond" w:hAnsi="Garamond"/>
          <w:sz w:val="22"/>
          <w:szCs w:val="22"/>
        </w:rPr>
        <w:t>, z niewielką dominacją kobiet (50,2%), co pokazuje także współczynnik feminizacji, który wynosi 100,9. Jedynie w miastach Hel, Puck i gminie Wejherowo wynosił on odpowiedni 98, 99 i 99.</w:t>
      </w:r>
    </w:p>
    <w:p w:rsidR="00472369" w:rsidRDefault="00472369" w:rsidP="00472369">
      <w:pPr>
        <w:jc w:val="both"/>
        <w:rPr>
          <w:rFonts w:ascii="Garamond" w:hAnsi="Garamond"/>
          <w:sz w:val="22"/>
          <w:szCs w:val="22"/>
        </w:rPr>
      </w:pPr>
      <w:r w:rsidRPr="005E7297">
        <w:rPr>
          <w:rFonts w:ascii="Garamond" w:hAnsi="Garamond"/>
          <w:sz w:val="22"/>
          <w:szCs w:val="22"/>
        </w:rPr>
        <w:t xml:space="preserve">W stosunku do średnich wartości dla województwa pomorskiego oraz kraju, </w:t>
      </w:r>
      <w:r w:rsidRPr="005E7297">
        <w:rPr>
          <w:rFonts w:ascii="Garamond" w:hAnsi="Garamond"/>
          <w:b/>
          <w:color w:val="0070C0"/>
          <w:sz w:val="22"/>
          <w:szCs w:val="22"/>
        </w:rPr>
        <w:t>struktura ludności według wieku przedstawia się bardziej korzystnie</w:t>
      </w:r>
      <w:r w:rsidRPr="005E7297">
        <w:rPr>
          <w:rFonts w:ascii="Garamond" w:hAnsi="Garamond"/>
          <w:sz w:val="22"/>
          <w:szCs w:val="22"/>
        </w:rPr>
        <w:t xml:space="preserve">. W 2013 r. osoby w wieku przedprodukcyjnym stanowiły 19,2% mieszkańców (podczas gdy w województwie pomorskim i kraju było to odpowiednio: 16,3%, 15,0%), w wieku produkcyjnym 67,7% (przy 66,6% dla województwa oraz dla kraju), a w wieku poprodukcyjnym 13,1% (przy 17,1% dla województwa oraz 18,4% dla kraju). Należy jednak nadmienić, że w okresie 2007-2013 następowała tendencja spójna z trendami krajowymi dotyczącymi </w:t>
      </w:r>
      <w:r w:rsidRPr="005E7297">
        <w:rPr>
          <w:rFonts w:ascii="Garamond" w:hAnsi="Garamond"/>
          <w:b/>
          <w:color w:val="0070C0"/>
          <w:sz w:val="22"/>
          <w:szCs w:val="22"/>
        </w:rPr>
        <w:t>starzenia się społeczeństwa</w:t>
      </w:r>
      <w:r w:rsidRPr="005E7297">
        <w:rPr>
          <w:rFonts w:ascii="Garamond" w:hAnsi="Garamond"/>
          <w:sz w:val="22"/>
          <w:szCs w:val="22"/>
        </w:rPr>
        <w:t>: zmniejsza się udział grupy w wieku przed- i produkcyjnym, na korzyść grupy w wieku poprodukcyjnym. Świadczy o tym również wskaźnik obciążenia demograficznego (stosunek liczby osób w wieku poprodukcyjnym do ludności w wieku produkcyjnym), który w latach 2007-2013 wzrósł o 3,2 p proc. – z 16,2% do 19,4%. W tym samym czasie w Polsce i regionie odnotowano wzrost o 4,3 i 4,6 p proc., do odpowiednio 27,6% i 25,6%.</w:t>
      </w:r>
      <w:r>
        <w:rPr>
          <w:rFonts w:ascii="Garamond" w:hAnsi="Garamond"/>
          <w:sz w:val="22"/>
          <w:szCs w:val="22"/>
        </w:rPr>
        <w:t xml:space="preserve"> </w:t>
      </w:r>
    </w:p>
    <w:p w:rsidR="00C932F3" w:rsidRDefault="00C932F3" w:rsidP="00CE62F5">
      <w:pPr>
        <w:jc w:val="both"/>
        <w:rPr>
          <w:rFonts w:ascii="Garamond" w:hAnsi="Garamond"/>
          <w:sz w:val="22"/>
          <w:szCs w:val="22"/>
        </w:rPr>
      </w:pPr>
    </w:p>
    <w:p w:rsidR="00F547CA" w:rsidRPr="001008BD" w:rsidRDefault="00F547CA" w:rsidP="001008BD">
      <w:pPr>
        <w:shd w:val="clear" w:color="auto" w:fill="8DB3E2" w:themeFill="text2" w:themeFillTint="66"/>
        <w:spacing w:after="0" w:line="240" w:lineRule="auto"/>
        <w:jc w:val="center"/>
        <w:rPr>
          <w:rFonts w:ascii="Garamond" w:hAnsi="Garamond"/>
          <w:b/>
          <w:sz w:val="22"/>
          <w:szCs w:val="22"/>
        </w:rPr>
      </w:pPr>
      <w:r w:rsidRPr="006335E2">
        <w:rPr>
          <w:rFonts w:ascii="Garamond" w:hAnsi="Garamond"/>
          <w:b/>
          <w:sz w:val="22"/>
          <w:szCs w:val="22"/>
        </w:rPr>
        <w:t>EDUKACJA</w:t>
      </w:r>
    </w:p>
    <w:p w:rsidR="00472369" w:rsidRPr="005E7297" w:rsidRDefault="00472369" w:rsidP="00472369">
      <w:pPr>
        <w:spacing w:before="240"/>
        <w:jc w:val="both"/>
        <w:rPr>
          <w:rFonts w:ascii="Garamond" w:hAnsi="Garamond"/>
          <w:sz w:val="22"/>
          <w:szCs w:val="22"/>
        </w:rPr>
      </w:pPr>
      <w:r w:rsidRPr="005E7297">
        <w:rPr>
          <w:rFonts w:ascii="Garamond" w:hAnsi="Garamond"/>
          <w:sz w:val="22"/>
          <w:szCs w:val="22"/>
        </w:rPr>
        <w:t>Na analizowanym obszarze, struktura ludności według wykształcenia jest nieco odmienna niż dla regionu jako całości. W powiatach puckim i wejherowskim mieszka więcej osób z wykształceniem zasadniczym zawodowym niż średnio w województwie pomorskim (ponad 25% do niecałych 22% w regionie). Natomiast mniej z wykształceniem wyższym (ok. 14%, podczas gdy w Pomorskiem ponad 17%) i średnim i policealnym (niewielka różnica: ponad 29% do ponad 31%). Zbliżony jest za to odsetek osób bez wykształcenia szkolnego lub z podstawowym nieukończonym (1%) oraz z wykształceniem gimnazjalnym (ok. 5-6%).</w:t>
      </w:r>
    </w:p>
    <w:p w:rsidR="00472369" w:rsidRPr="005E7297" w:rsidRDefault="00472369" w:rsidP="00472369">
      <w:pPr>
        <w:jc w:val="both"/>
        <w:rPr>
          <w:rFonts w:ascii="Garamond" w:hAnsi="Garamond"/>
          <w:sz w:val="22"/>
          <w:szCs w:val="22"/>
        </w:rPr>
      </w:pPr>
      <w:r w:rsidRPr="005E7297">
        <w:rPr>
          <w:rFonts w:ascii="Garamond" w:hAnsi="Garamond"/>
          <w:sz w:val="22"/>
          <w:szCs w:val="22"/>
        </w:rPr>
        <w:t xml:space="preserve">W gminach tworzących obszar PLGR występuje </w:t>
      </w:r>
      <w:r w:rsidRPr="005E7297">
        <w:rPr>
          <w:rFonts w:ascii="Garamond" w:hAnsi="Garamond"/>
          <w:b/>
          <w:color w:val="0070C0"/>
          <w:sz w:val="22"/>
          <w:szCs w:val="22"/>
        </w:rPr>
        <w:t>utrudniony dostępem do edukacji przedszkolnej</w:t>
      </w:r>
      <w:r w:rsidRPr="005E7297">
        <w:rPr>
          <w:rFonts w:ascii="Garamond" w:hAnsi="Garamond"/>
          <w:sz w:val="22"/>
          <w:szCs w:val="22"/>
        </w:rPr>
        <w:t xml:space="preserve">, o czym świadczy niższy niż średnio w województwie i kraju odsetek dzieci w wieku 3-5 lat objętych wychowaniem przedszkolnym. W 2013 r. wyniósł on 70,4% dla województwa oraz 74,1% dla kraju, podczas gdy na obszarze PLGR jedynie 58,6%. Warto jednak wspomnieć, że na omawianym obszarze w okresie 2007-2013 odsetek ten wzrósł prawie 3-krotnie, z 20,4% do wspomnianych 58,6%. Ponadto, widoczne są duże dysproporcje w poszczególnych gminach PLGR. Najbardziej </w:t>
      </w:r>
      <w:proofErr w:type="spellStart"/>
      <w:r w:rsidRPr="005E7297">
        <w:rPr>
          <w:rFonts w:ascii="Garamond" w:hAnsi="Garamond"/>
          <w:sz w:val="22"/>
          <w:szCs w:val="22"/>
        </w:rPr>
        <w:t>korzystana</w:t>
      </w:r>
      <w:proofErr w:type="spellEnd"/>
      <w:r w:rsidRPr="005E7297">
        <w:rPr>
          <w:rFonts w:ascii="Garamond" w:hAnsi="Garamond"/>
          <w:sz w:val="22"/>
          <w:szCs w:val="22"/>
        </w:rPr>
        <w:t xml:space="preserve"> sytuacja występuje w mieście Puck (97,0%), a najmniej w gminie wiejskiej Puck (49,8%). Kolejnym potwierdzeniem niekorzystnej sytuacji w dostępie do edukacji przedszkolnej jest liczba dzieci w wieku 3-5 lat przypadająca na 1 miejsce w przedszkolu. Wprawdzie od 2008 r. na omawianym obszarze, liczba ta spadła o prawie 2 osoby, to jednak wynosi ponad 2. dzieci na 1 miejsce. Dla porównania w Polsce wskaźnik ten oscyluje w granicach 1,3, a w województwie pomorskim 1,6. Najgorsza sytuacja ma miejsce w gminie Krokowa (6,3) a najlepsza w miastach Hel i Puck (1,0).</w:t>
      </w:r>
    </w:p>
    <w:p w:rsidR="00472369" w:rsidRPr="005E7297" w:rsidRDefault="00472369" w:rsidP="00472369">
      <w:pPr>
        <w:jc w:val="both"/>
        <w:rPr>
          <w:rFonts w:ascii="Garamond" w:hAnsi="Garamond"/>
          <w:sz w:val="22"/>
          <w:szCs w:val="22"/>
        </w:rPr>
      </w:pPr>
      <w:r w:rsidRPr="005E7297">
        <w:rPr>
          <w:rFonts w:ascii="Garamond" w:hAnsi="Garamond"/>
          <w:sz w:val="22"/>
          <w:szCs w:val="22"/>
        </w:rPr>
        <w:lastRenderedPageBreak/>
        <w:t xml:space="preserve">W latach 2007-2013 w gminach objętych Strategią </w:t>
      </w:r>
      <w:r w:rsidRPr="005E7297">
        <w:rPr>
          <w:rFonts w:ascii="Garamond" w:hAnsi="Garamond"/>
          <w:b/>
          <w:color w:val="0070C0"/>
          <w:sz w:val="22"/>
          <w:szCs w:val="22"/>
        </w:rPr>
        <w:t xml:space="preserve">współczynniki </w:t>
      </w:r>
      <w:proofErr w:type="spellStart"/>
      <w:r w:rsidRPr="005E7297">
        <w:rPr>
          <w:rFonts w:ascii="Garamond" w:hAnsi="Garamond"/>
          <w:b/>
          <w:color w:val="0070C0"/>
          <w:sz w:val="22"/>
          <w:szCs w:val="22"/>
        </w:rPr>
        <w:t>skolaryzacji</w:t>
      </w:r>
      <w:proofErr w:type="spellEnd"/>
      <w:r w:rsidRPr="005E7297">
        <w:rPr>
          <w:rFonts w:ascii="Garamond" w:hAnsi="Garamond"/>
          <w:b/>
          <w:color w:val="0070C0"/>
          <w:sz w:val="22"/>
          <w:szCs w:val="22"/>
        </w:rPr>
        <w:t xml:space="preserve"> netto</w:t>
      </w:r>
      <w:r w:rsidRPr="005E7297">
        <w:rPr>
          <w:rStyle w:val="Odwoanieprzypisudolnego"/>
          <w:rFonts w:ascii="Garamond" w:hAnsi="Garamond"/>
          <w:sz w:val="22"/>
          <w:szCs w:val="22"/>
        </w:rPr>
        <w:footnoteReference w:id="2"/>
      </w:r>
      <w:r w:rsidRPr="005E7297">
        <w:rPr>
          <w:rFonts w:ascii="Garamond" w:hAnsi="Garamond"/>
          <w:b/>
          <w:color w:val="0070C0"/>
          <w:sz w:val="22"/>
          <w:szCs w:val="22"/>
        </w:rPr>
        <w:t>, zarówno dla szkół podstawowych, jak i gimnazjów spadły</w:t>
      </w:r>
      <w:r w:rsidRPr="005E7297">
        <w:rPr>
          <w:rFonts w:ascii="Garamond" w:hAnsi="Garamond"/>
          <w:sz w:val="22"/>
          <w:szCs w:val="22"/>
        </w:rPr>
        <w:t>. Oznacza to, że do tych szkół w danej gminie uczęszcza mniej dzieci w wieku typowym dla tych etapów kształcenia. Jest to również tendencja obserwowana zarówno w Polsce jak i województwie pomorskim. Odmienna sytuacja</w:t>
      </w:r>
      <w:r w:rsidR="0094451C" w:rsidRPr="005E7297">
        <w:rPr>
          <w:rFonts w:ascii="Garamond" w:hAnsi="Garamond"/>
          <w:sz w:val="22"/>
          <w:szCs w:val="22"/>
        </w:rPr>
        <w:t>,</w:t>
      </w:r>
      <w:r w:rsidRPr="005E7297">
        <w:rPr>
          <w:rFonts w:ascii="Garamond" w:hAnsi="Garamond"/>
          <w:sz w:val="22"/>
          <w:szCs w:val="22"/>
        </w:rPr>
        <w:t xml:space="preserve"> w przypadku szkół podstawowych</w:t>
      </w:r>
      <w:r w:rsidR="0094451C" w:rsidRPr="005E7297">
        <w:rPr>
          <w:rFonts w:ascii="Garamond" w:hAnsi="Garamond"/>
          <w:sz w:val="22"/>
          <w:szCs w:val="22"/>
        </w:rPr>
        <w:t>,</w:t>
      </w:r>
      <w:r w:rsidRPr="005E7297">
        <w:rPr>
          <w:rFonts w:ascii="Garamond" w:hAnsi="Garamond"/>
          <w:sz w:val="22"/>
          <w:szCs w:val="22"/>
        </w:rPr>
        <w:t xml:space="preserve"> występuje jedynie w</w:t>
      </w:r>
      <w:r w:rsidR="00604F65" w:rsidRPr="005E7297">
        <w:rPr>
          <w:rFonts w:ascii="Garamond" w:hAnsi="Garamond"/>
          <w:sz w:val="22"/>
          <w:szCs w:val="22"/>
        </w:rPr>
        <w:t xml:space="preserve"> mieście Puck</w:t>
      </w:r>
      <w:r w:rsidRPr="005E7297">
        <w:rPr>
          <w:rFonts w:ascii="Garamond" w:hAnsi="Garamond"/>
          <w:sz w:val="22"/>
          <w:szCs w:val="22"/>
        </w:rPr>
        <w:t xml:space="preserve"> oraz gminie Kosakowo (gdzie odnotowano wzrost o 3,2 i 2,9 p proc.). </w:t>
      </w:r>
      <w:r w:rsidR="0094451C" w:rsidRPr="005E7297">
        <w:rPr>
          <w:rFonts w:ascii="Garamond" w:hAnsi="Garamond"/>
          <w:sz w:val="22"/>
          <w:szCs w:val="22"/>
        </w:rPr>
        <w:t>Kosakowo</w:t>
      </w:r>
      <w:r w:rsidRPr="005E7297">
        <w:rPr>
          <w:rFonts w:ascii="Garamond" w:hAnsi="Garamond"/>
          <w:sz w:val="22"/>
          <w:szCs w:val="22"/>
        </w:rPr>
        <w:t xml:space="preserve"> ma jednak najniższy wskaźnik na omawianym obszarze (83,1%). Najgorsza sytuacja ma miejsce w gminie Krokowa, gdzie odnotowano największy spadek współczynnika (o 7,8 p proc.), co po części</w:t>
      </w:r>
      <w:r w:rsidR="00604F65" w:rsidRPr="005E7297">
        <w:rPr>
          <w:rFonts w:ascii="Garamond" w:hAnsi="Garamond"/>
          <w:sz w:val="22"/>
          <w:szCs w:val="22"/>
        </w:rPr>
        <w:t xml:space="preserve"> wiąże się ze zjawiskiem, że </w:t>
      </w:r>
      <w:r w:rsidRPr="005E7297">
        <w:rPr>
          <w:rFonts w:ascii="Garamond" w:hAnsi="Garamond"/>
          <w:sz w:val="22"/>
          <w:szCs w:val="22"/>
        </w:rPr>
        <w:t xml:space="preserve">12,3% dzieci w wieku edukacji podstawowej nie uczęszcza do szkoły w swojej gminie. Dzieci te zaczynają uczęszczać do szkół w gminach miejskich i w miastach na prawach powiatu, gdzie wskaźniki </w:t>
      </w:r>
      <w:proofErr w:type="spellStart"/>
      <w:r w:rsidRPr="005E7297">
        <w:rPr>
          <w:rFonts w:ascii="Garamond" w:hAnsi="Garamond"/>
          <w:sz w:val="22"/>
          <w:szCs w:val="22"/>
        </w:rPr>
        <w:t>skolaryzacji</w:t>
      </w:r>
      <w:proofErr w:type="spellEnd"/>
      <w:r w:rsidRPr="005E7297">
        <w:rPr>
          <w:rFonts w:ascii="Garamond" w:hAnsi="Garamond"/>
          <w:sz w:val="22"/>
          <w:szCs w:val="22"/>
        </w:rPr>
        <w:t xml:space="preserve"> netto często przekraczają 100%. Zjawisko to najsilniej występuje w przypadku gimnazjów. Na obszarze objętym PLGR przykładem jest miasto Puck, gdzie w 2013 r. współczynnik dla szkół gimnazjalnych wynosił 123,1 (od 2007 r. wzrósł o 19,3 p proc.). Kolejny znaczny wzrost odnotowano w Jastarni, gdzie jedynie 1,6% dzieci nie uczęszcza do szkoły w swojej gminie.</w:t>
      </w:r>
    </w:p>
    <w:p w:rsidR="00472369" w:rsidRDefault="00472369" w:rsidP="00472369">
      <w:pPr>
        <w:spacing w:before="240"/>
        <w:jc w:val="both"/>
        <w:rPr>
          <w:rFonts w:ascii="Garamond" w:hAnsi="Garamond"/>
          <w:sz w:val="22"/>
          <w:szCs w:val="22"/>
        </w:rPr>
      </w:pPr>
      <w:r w:rsidRPr="005E7297">
        <w:rPr>
          <w:rFonts w:ascii="Garamond" w:hAnsi="Garamond"/>
          <w:sz w:val="22"/>
          <w:szCs w:val="22"/>
        </w:rPr>
        <w:t>Na obszarze PLGR</w:t>
      </w:r>
      <w:r w:rsidR="0094451C" w:rsidRPr="005E7297">
        <w:rPr>
          <w:rFonts w:ascii="Garamond" w:hAnsi="Garamond"/>
          <w:sz w:val="22"/>
          <w:szCs w:val="22"/>
        </w:rPr>
        <w:t xml:space="preserve"> </w:t>
      </w:r>
      <w:r w:rsidRPr="005E7297">
        <w:rPr>
          <w:rFonts w:ascii="Garamond" w:hAnsi="Garamond"/>
          <w:sz w:val="22"/>
          <w:szCs w:val="22"/>
        </w:rPr>
        <w:t xml:space="preserve">występuje </w:t>
      </w:r>
      <w:r w:rsidRPr="005E7297">
        <w:rPr>
          <w:rFonts w:ascii="Garamond" w:hAnsi="Garamond"/>
          <w:b/>
          <w:color w:val="0070C0"/>
          <w:sz w:val="22"/>
          <w:szCs w:val="22"/>
        </w:rPr>
        <w:t>względnie</w:t>
      </w:r>
      <w:r w:rsidRPr="005E7297">
        <w:rPr>
          <w:rFonts w:ascii="Garamond" w:hAnsi="Garamond"/>
          <w:sz w:val="22"/>
          <w:szCs w:val="22"/>
        </w:rPr>
        <w:t xml:space="preserve"> </w:t>
      </w:r>
      <w:r w:rsidRPr="005E7297">
        <w:rPr>
          <w:rFonts w:ascii="Garamond" w:hAnsi="Garamond"/>
          <w:b/>
          <w:color w:val="0070C0"/>
          <w:sz w:val="22"/>
          <w:szCs w:val="22"/>
        </w:rPr>
        <w:t>dobra sytuacja pod względem komputeryzacji w szkołach</w:t>
      </w:r>
      <w:r w:rsidRPr="005E7297">
        <w:rPr>
          <w:rFonts w:ascii="Garamond" w:hAnsi="Garamond"/>
          <w:color w:val="0070C0"/>
          <w:sz w:val="22"/>
          <w:szCs w:val="22"/>
        </w:rPr>
        <w:t xml:space="preserve"> </w:t>
      </w:r>
      <w:r w:rsidRPr="005E7297">
        <w:rPr>
          <w:rFonts w:ascii="Garamond" w:hAnsi="Garamond"/>
          <w:sz w:val="22"/>
          <w:szCs w:val="22"/>
        </w:rPr>
        <w:t xml:space="preserve">podstawowych i gimnazjach. </w:t>
      </w:r>
      <w:r w:rsidRPr="00BD58A4">
        <w:rPr>
          <w:rFonts w:ascii="Garamond" w:hAnsi="Garamond"/>
          <w:sz w:val="22"/>
          <w:szCs w:val="22"/>
        </w:rPr>
        <w:t>Wszystkie szkoły poza jednym gimnazjum</w:t>
      </w:r>
      <w:r w:rsidRPr="005E7297">
        <w:rPr>
          <w:rFonts w:ascii="Garamond" w:hAnsi="Garamond"/>
          <w:sz w:val="22"/>
          <w:szCs w:val="22"/>
        </w:rPr>
        <w:t>, są wyposażone w komputery przeznaczone do użytku uczniów z dostępem do Internetu. Nieco gorzej sytuacja wygląda w przypadku liczby uczniów przypadających na 1 komputer. Niechlubne pierwsze miejsce zajmuje miasto Puck, gdzie wskaźnik ten wynosi niecałe 50 osób. Na drugim krańcu, z ośmioma  uczniami na jeden komputer jest Władysławowo. W tym mieście również najlepiej wypadają gimnazja (niecałe 8 osób). Z kolei najgorsza sytuacja występuje w gminie Wejherowo, jednak wartości te są o połowę mniejsze od tych dla szkół podstawowych (24. uczniów).</w:t>
      </w:r>
    </w:p>
    <w:p w:rsidR="00472369" w:rsidRDefault="00472369" w:rsidP="007F7F58">
      <w:pPr>
        <w:jc w:val="both"/>
        <w:rPr>
          <w:rFonts w:ascii="Garamond" w:hAnsi="Garamond"/>
          <w:sz w:val="22"/>
          <w:szCs w:val="22"/>
        </w:rPr>
      </w:pPr>
    </w:p>
    <w:p w:rsidR="00B021A8" w:rsidRPr="001008BD" w:rsidRDefault="00D354FF" w:rsidP="001008BD">
      <w:pPr>
        <w:shd w:val="clear" w:color="auto" w:fill="8DB3E2" w:themeFill="text2" w:themeFillTint="66"/>
        <w:spacing w:after="0" w:line="240" w:lineRule="auto"/>
        <w:jc w:val="center"/>
        <w:rPr>
          <w:rFonts w:ascii="Garamond" w:hAnsi="Garamond"/>
          <w:b/>
          <w:sz w:val="22"/>
          <w:szCs w:val="22"/>
        </w:rPr>
      </w:pPr>
      <w:r>
        <w:rPr>
          <w:rFonts w:ascii="Garamond" w:hAnsi="Garamond"/>
          <w:b/>
          <w:sz w:val="22"/>
          <w:szCs w:val="22"/>
        </w:rPr>
        <w:t>POMOC SPOŁECZNA</w:t>
      </w:r>
    </w:p>
    <w:p w:rsidR="00472369" w:rsidRDefault="00472369" w:rsidP="00472369">
      <w:pPr>
        <w:spacing w:before="240" w:after="0"/>
        <w:jc w:val="both"/>
        <w:rPr>
          <w:rFonts w:ascii="Garamond" w:hAnsi="Garamond"/>
          <w:sz w:val="22"/>
          <w:szCs w:val="22"/>
        </w:rPr>
      </w:pPr>
      <w:r w:rsidRPr="005E7297">
        <w:rPr>
          <w:rFonts w:ascii="Garamond" w:hAnsi="Garamond"/>
          <w:sz w:val="22"/>
          <w:szCs w:val="22"/>
        </w:rPr>
        <w:t xml:space="preserve">Mieszkańcy gmin tworzących obszar PLGR </w:t>
      </w:r>
      <w:r w:rsidRPr="005E7297">
        <w:rPr>
          <w:rFonts w:ascii="Garamond" w:hAnsi="Garamond"/>
          <w:b/>
          <w:color w:val="0070C0"/>
          <w:sz w:val="22"/>
          <w:szCs w:val="22"/>
        </w:rPr>
        <w:t>rzadziej korzystają z pomocy społecznej niż średnio w województwie</w:t>
      </w:r>
      <w:r w:rsidRPr="005E7297">
        <w:rPr>
          <w:rFonts w:ascii="Garamond" w:hAnsi="Garamond"/>
          <w:sz w:val="22"/>
          <w:szCs w:val="22"/>
        </w:rPr>
        <w:t xml:space="preserve"> o czym świadczy udział osób w gospodarstwach domowych korzystających ze środowiskowej pomocy społecznej w ludności ogółem. Od 2008 r. odnotowuje się jego spadek (od 8,2% do 7,6%) co jest zbieżne z trendem krajowym i wojewódzkim.</w:t>
      </w:r>
      <w:r>
        <w:rPr>
          <w:rFonts w:ascii="Garamond" w:hAnsi="Garamond"/>
          <w:sz w:val="22"/>
          <w:szCs w:val="22"/>
        </w:rPr>
        <w:t xml:space="preserve"> </w:t>
      </w:r>
    </w:p>
    <w:p w:rsidR="00472369" w:rsidRDefault="00467C96" w:rsidP="00472369">
      <w:pPr>
        <w:spacing w:after="0"/>
        <w:jc w:val="both"/>
        <w:rPr>
          <w:rFonts w:ascii="Garamond" w:hAnsi="Garamond"/>
          <w:sz w:val="22"/>
          <w:szCs w:val="22"/>
        </w:rPr>
      </w:pPr>
      <w:r>
        <w:rPr>
          <w:rFonts w:ascii="Garamond" w:hAnsi="Garamond"/>
          <w:sz w:val="22"/>
          <w:szCs w:val="22"/>
        </w:rPr>
        <w:t xml:space="preserve">Poniekąd jest to </w:t>
      </w:r>
      <w:r w:rsidR="00472369">
        <w:rPr>
          <w:rFonts w:ascii="Garamond" w:hAnsi="Garamond"/>
          <w:sz w:val="22"/>
          <w:szCs w:val="22"/>
        </w:rPr>
        <w:t xml:space="preserve">jednak </w:t>
      </w:r>
      <w:r>
        <w:rPr>
          <w:rFonts w:ascii="Garamond" w:hAnsi="Garamond"/>
          <w:sz w:val="22"/>
          <w:szCs w:val="22"/>
        </w:rPr>
        <w:t>związane</w:t>
      </w:r>
      <w:r w:rsidR="00472369">
        <w:rPr>
          <w:rFonts w:ascii="Garamond" w:hAnsi="Garamond"/>
          <w:sz w:val="22"/>
          <w:szCs w:val="22"/>
        </w:rPr>
        <w:t xml:space="preserve"> ze wzrostem ogólnej liczby mieszkańców na analizowany obszarze. Biorąc bowiem pod uwagę liczbę osób w gospodarstwach domowych korzystających z pomocy społecznej w ogólnej liczbie tych osób w województwie </w:t>
      </w:r>
      <w:r w:rsidR="00472369" w:rsidRPr="0094451C">
        <w:rPr>
          <w:rFonts w:ascii="Garamond" w:hAnsi="Garamond"/>
          <w:sz w:val="22"/>
          <w:szCs w:val="22"/>
        </w:rPr>
        <w:t>to jej udział wzrósł z 3,8% w 2008 r. do 4,0% w 2012 r.</w:t>
      </w:r>
    </w:p>
    <w:p w:rsidR="00472369" w:rsidRDefault="00472369" w:rsidP="00472369">
      <w:pPr>
        <w:jc w:val="both"/>
        <w:rPr>
          <w:rFonts w:ascii="Garamond" w:hAnsi="Garamond"/>
          <w:sz w:val="22"/>
          <w:szCs w:val="22"/>
        </w:rPr>
      </w:pPr>
      <w:r>
        <w:rPr>
          <w:rFonts w:ascii="Garamond" w:hAnsi="Garamond"/>
          <w:sz w:val="22"/>
          <w:szCs w:val="22"/>
        </w:rPr>
        <w:t xml:space="preserve">Ponadto, PLGR jest </w:t>
      </w:r>
      <w:r w:rsidRPr="000C2EE3">
        <w:rPr>
          <w:rFonts w:ascii="Garamond" w:hAnsi="Garamond"/>
          <w:b/>
          <w:color w:val="0070C0"/>
          <w:sz w:val="22"/>
          <w:szCs w:val="22"/>
        </w:rPr>
        <w:t>wewnętrznie zróżnicowana</w:t>
      </w:r>
      <w:r>
        <w:rPr>
          <w:rFonts w:ascii="Garamond" w:hAnsi="Garamond"/>
          <w:sz w:val="22"/>
          <w:szCs w:val="22"/>
        </w:rPr>
        <w:t xml:space="preserve">, gdyż w trzech gminach nastąpił niewielki wzrost wskaźnika. Są to gmina miejska i wiejska Puck oraz miasto Władysławowo. </w:t>
      </w:r>
      <w:r w:rsidR="000E4084">
        <w:rPr>
          <w:rFonts w:ascii="Garamond" w:hAnsi="Garamond"/>
          <w:sz w:val="22"/>
          <w:szCs w:val="22"/>
        </w:rPr>
        <w:t>Natomiast</w:t>
      </w:r>
      <w:r>
        <w:rPr>
          <w:rFonts w:ascii="Garamond" w:hAnsi="Garamond"/>
          <w:sz w:val="22"/>
          <w:szCs w:val="22"/>
        </w:rPr>
        <w:t>, pomimo niewielkiego spadku (o 1 p proc.) gmina Krokowa znacznie odbiega od średnich i tam wskaźnik wynosił 15,1%.</w:t>
      </w:r>
    </w:p>
    <w:p w:rsidR="00472369" w:rsidRDefault="00472369" w:rsidP="00472369">
      <w:pPr>
        <w:spacing w:after="0"/>
        <w:jc w:val="both"/>
        <w:rPr>
          <w:rFonts w:ascii="Garamond" w:hAnsi="Garamond" w:cs="Garamond"/>
          <w:sz w:val="22"/>
          <w:szCs w:val="22"/>
          <w:lang w:eastAsia="en-US"/>
        </w:rPr>
      </w:pPr>
      <w:r w:rsidRPr="005E7297">
        <w:rPr>
          <w:rFonts w:ascii="Garamond" w:hAnsi="Garamond" w:cs="Garamond"/>
          <w:sz w:val="22"/>
          <w:szCs w:val="22"/>
          <w:lang w:eastAsia="en-US"/>
        </w:rPr>
        <w:t xml:space="preserve">Na terenie PLGR </w:t>
      </w:r>
      <w:r w:rsidRPr="005E7297">
        <w:rPr>
          <w:rFonts w:ascii="Garamond" w:hAnsi="Garamond" w:cs="Garamond"/>
          <w:b/>
          <w:color w:val="0070C0"/>
          <w:sz w:val="22"/>
          <w:szCs w:val="22"/>
          <w:lang w:eastAsia="en-US"/>
        </w:rPr>
        <w:t>przedsiębiorczość społeczna jest słabo rozwinięta</w:t>
      </w:r>
      <w:r w:rsidRPr="005E7297">
        <w:rPr>
          <w:rStyle w:val="Odwoanieprzypisudolnego"/>
          <w:rFonts w:ascii="Garamond" w:hAnsi="Garamond" w:cs="Garamond"/>
          <w:sz w:val="22"/>
          <w:szCs w:val="22"/>
          <w:lang w:eastAsia="en-US"/>
        </w:rPr>
        <w:footnoteReference w:id="3"/>
      </w:r>
      <w:r w:rsidRPr="005E7297">
        <w:rPr>
          <w:rFonts w:ascii="Garamond" w:hAnsi="Garamond" w:cs="Garamond"/>
          <w:color w:val="0070C0"/>
          <w:sz w:val="22"/>
          <w:szCs w:val="22"/>
          <w:lang w:eastAsia="en-US"/>
        </w:rPr>
        <w:t>.</w:t>
      </w:r>
      <w:r w:rsidRPr="005E7297">
        <w:rPr>
          <w:rFonts w:ascii="Garamond" w:hAnsi="Garamond" w:cs="Garamond"/>
          <w:sz w:val="22"/>
          <w:szCs w:val="22"/>
          <w:lang w:eastAsia="en-US"/>
        </w:rPr>
        <w:t xml:space="preserve"> Dopiero od 2014 r. otworzono w Pucku pierwszą spółdzielnie socjalną. Założycielami są gmina Puck, gmina Krokowa oraz Puckie Stowarzyszenie Wspierające Osoby Niepełnosprawne Umysłowo „Razem”. Działalność gospodarcza spółdzielni może być rozwijana bardzo szeroko. Póki co, działa przede wszystkim w obszarze przemysłu spożywczy (browarnictwo). Ponadto, w zakresie reintegracji społecznej działają dwa ośrodki: w Bolszewie funkcjonuje Klub Integracji Społecznej, którego podmiotem prowadzącym jest Gminny Ośrodek Pomocy Społecznej w Wejherowie, a w Pucku działalność prowadzi Centrum Integracji Społecznej. Pod względem </w:t>
      </w:r>
      <w:r w:rsidRPr="005E7297">
        <w:rPr>
          <w:rFonts w:ascii="Garamond" w:hAnsi="Garamond" w:cs="Garamond"/>
          <w:sz w:val="22"/>
          <w:szCs w:val="22"/>
          <w:lang w:eastAsia="en-US"/>
        </w:rPr>
        <w:lastRenderedPageBreak/>
        <w:t>liczby uczestników zajęć, jest to czwarty największy CIS w regionie (ponad 12% ze wszystkich uczestników).</w:t>
      </w:r>
      <w:r>
        <w:rPr>
          <w:rFonts w:ascii="Garamond" w:hAnsi="Garamond" w:cs="Garamond"/>
          <w:sz w:val="22"/>
          <w:szCs w:val="22"/>
          <w:lang w:eastAsia="en-US"/>
        </w:rPr>
        <w:t xml:space="preserve"> </w:t>
      </w:r>
    </w:p>
    <w:p w:rsidR="00472369" w:rsidRDefault="00472369" w:rsidP="00472369">
      <w:pPr>
        <w:spacing w:after="0"/>
        <w:jc w:val="both"/>
        <w:rPr>
          <w:rFonts w:ascii="Garamond" w:hAnsi="Garamond" w:cs="Garamond"/>
          <w:sz w:val="22"/>
          <w:szCs w:val="22"/>
          <w:lang w:eastAsia="en-US"/>
        </w:rPr>
      </w:pPr>
      <w:r>
        <w:rPr>
          <w:rFonts w:ascii="Garamond" w:hAnsi="Garamond" w:cs="Garamond"/>
          <w:sz w:val="22"/>
          <w:szCs w:val="22"/>
          <w:lang w:eastAsia="en-US"/>
        </w:rPr>
        <w:t xml:space="preserve">W Pucku, przez wspomniane już stowarzyszenie „Razem”, prowadzony jest również Warsztat Terapii Zajęciowej – </w:t>
      </w:r>
      <w:r w:rsidRPr="00DB66A8">
        <w:rPr>
          <w:rFonts w:ascii="Garamond" w:hAnsi="Garamond" w:cs="Garamond"/>
          <w:sz w:val="22"/>
          <w:szCs w:val="22"/>
          <w:lang w:eastAsia="en-US"/>
        </w:rPr>
        <w:t>placówka wykonująca rehabilitację społeczną i zawodową niepełnosprawnych podopiecznych</w:t>
      </w:r>
      <w:r>
        <w:rPr>
          <w:rFonts w:ascii="Garamond" w:hAnsi="Garamond" w:cs="Garamond"/>
          <w:sz w:val="22"/>
          <w:szCs w:val="22"/>
          <w:lang w:eastAsia="en-US"/>
        </w:rPr>
        <w:t>. Średnia liczba uczestników to 50 osób, stanowiących 3,6% wszystkich uczestników WTZ w regionie.</w:t>
      </w:r>
    </w:p>
    <w:p w:rsidR="00472369" w:rsidRDefault="00472369" w:rsidP="00A84B2C">
      <w:pPr>
        <w:spacing w:after="0"/>
        <w:jc w:val="both"/>
        <w:rPr>
          <w:rFonts w:ascii="Garamond" w:hAnsi="Garamond" w:cs="Garamond"/>
          <w:sz w:val="22"/>
          <w:szCs w:val="22"/>
          <w:lang w:eastAsia="en-US"/>
        </w:rPr>
      </w:pPr>
    </w:p>
    <w:p w:rsidR="00472369" w:rsidRDefault="00472369" w:rsidP="00A84B2C">
      <w:pPr>
        <w:spacing w:after="0"/>
        <w:jc w:val="both"/>
        <w:rPr>
          <w:rFonts w:ascii="Garamond" w:hAnsi="Garamond" w:cs="Garamond"/>
          <w:sz w:val="22"/>
          <w:szCs w:val="22"/>
          <w:lang w:eastAsia="en-US"/>
        </w:rPr>
      </w:pPr>
    </w:p>
    <w:p w:rsidR="008703E2" w:rsidRPr="006335E2" w:rsidRDefault="008703E2" w:rsidP="008703E2">
      <w:pPr>
        <w:shd w:val="clear" w:color="auto" w:fill="8DB3E2" w:themeFill="text2" w:themeFillTint="66"/>
        <w:spacing w:after="0" w:line="240" w:lineRule="auto"/>
        <w:jc w:val="center"/>
        <w:rPr>
          <w:rFonts w:ascii="Garamond" w:hAnsi="Garamond"/>
          <w:b/>
          <w:sz w:val="22"/>
          <w:szCs w:val="22"/>
        </w:rPr>
      </w:pPr>
      <w:r>
        <w:rPr>
          <w:rFonts w:ascii="Garamond" w:hAnsi="Garamond"/>
          <w:b/>
          <w:sz w:val="22"/>
          <w:szCs w:val="22"/>
        </w:rPr>
        <w:t>ORGANIZACJE POZARZĄDOWE</w:t>
      </w:r>
    </w:p>
    <w:p w:rsidR="00472369" w:rsidRDefault="00472369" w:rsidP="00C24BC1">
      <w:pPr>
        <w:spacing w:before="240"/>
        <w:jc w:val="both"/>
        <w:rPr>
          <w:rFonts w:ascii="Garamond" w:hAnsi="Garamond"/>
          <w:sz w:val="22"/>
          <w:szCs w:val="22"/>
        </w:rPr>
      </w:pPr>
      <w:r w:rsidRPr="005E7297">
        <w:rPr>
          <w:rFonts w:ascii="Garamond" w:hAnsi="Garamond"/>
          <w:sz w:val="22"/>
          <w:szCs w:val="22"/>
        </w:rPr>
        <w:t xml:space="preserve">W gminach PLGR odnotowuje się </w:t>
      </w:r>
      <w:r w:rsidRPr="005E7297">
        <w:rPr>
          <w:rFonts w:ascii="Garamond" w:hAnsi="Garamond"/>
          <w:b/>
          <w:color w:val="0070C0"/>
          <w:sz w:val="22"/>
          <w:szCs w:val="22"/>
        </w:rPr>
        <w:t>średnią aktywność społeczną</w:t>
      </w:r>
      <w:r w:rsidRPr="005E7297">
        <w:rPr>
          <w:rFonts w:ascii="Garamond" w:hAnsi="Garamond"/>
          <w:sz w:val="22"/>
          <w:szCs w:val="22"/>
        </w:rPr>
        <w:t>. Widoczny jest jednak znaczny potencjał, o czym świadczy zdecydowanie większ</w:t>
      </w:r>
      <w:r w:rsidR="0094451C" w:rsidRPr="005E7297">
        <w:rPr>
          <w:rFonts w:ascii="Garamond" w:hAnsi="Garamond"/>
          <w:sz w:val="22"/>
          <w:szCs w:val="22"/>
        </w:rPr>
        <w:t>a</w:t>
      </w:r>
      <w:r w:rsidRPr="005E7297">
        <w:rPr>
          <w:rFonts w:ascii="Garamond" w:hAnsi="Garamond"/>
          <w:sz w:val="22"/>
          <w:szCs w:val="22"/>
        </w:rPr>
        <w:t xml:space="preserve"> dynamika przyrostu fundacji, stowarzyszeń i organizacji społecznych na 10 tys. mieszkańców. Wskaźnik ten wzrósł bowiem o 40,3% - z 20,4 w 2007 r. do 29,0 w 2013 r., podczas gdy w regionie o 29,2% (do wartości 31), a  w Polsce o 33,3% (do 32)</w:t>
      </w:r>
      <w:r w:rsidR="005E7297">
        <w:rPr>
          <w:rFonts w:ascii="Garamond" w:hAnsi="Garamond"/>
          <w:sz w:val="22"/>
          <w:szCs w:val="22"/>
        </w:rPr>
        <w:t>.</w:t>
      </w:r>
    </w:p>
    <w:p w:rsidR="00C14692" w:rsidRPr="0094451C" w:rsidRDefault="00B13B18" w:rsidP="00C14692">
      <w:pPr>
        <w:spacing w:after="0"/>
        <w:jc w:val="both"/>
        <w:rPr>
          <w:rFonts w:ascii="Garamond" w:hAnsi="Garamond"/>
          <w:sz w:val="22"/>
          <w:szCs w:val="22"/>
        </w:rPr>
      </w:pPr>
      <w:r w:rsidRPr="0094451C">
        <w:rPr>
          <w:rFonts w:ascii="Garamond" w:hAnsi="Garamond"/>
          <w:sz w:val="22"/>
          <w:szCs w:val="22"/>
        </w:rPr>
        <w:t xml:space="preserve">Na obszarze PLGR zlokalizowanych jest 237 organizacji pozarządowych (http://bazy.ngo.pl). Największy ich udział posiada miasto Puck (27,0%) oraz gmina Wejherowo (20,2%), a najmniejszy gmina Kosakowo (2,5%) oraz miasto Jastarnia i gmina Krokowa (po 4,7%). </w:t>
      </w:r>
    </w:p>
    <w:p w:rsidR="00477B34" w:rsidRPr="0094451C" w:rsidRDefault="00B13B18" w:rsidP="00477B34">
      <w:pPr>
        <w:jc w:val="both"/>
        <w:rPr>
          <w:rFonts w:ascii="Garamond" w:hAnsi="Garamond"/>
          <w:sz w:val="22"/>
          <w:szCs w:val="22"/>
        </w:rPr>
      </w:pPr>
      <w:r w:rsidRPr="0094451C">
        <w:rPr>
          <w:rFonts w:ascii="Garamond" w:hAnsi="Garamond"/>
          <w:sz w:val="22"/>
          <w:szCs w:val="22"/>
        </w:rPr>
        <w:t xml:space="preserve">Zakres działania organizacji pozarządowych </w:t>
      </w:r>
      <w:r w:rsidR="00C14692" w:rsidRPr="0094451C">
        <w:rPr>
          <w:rFonts w:ascii="Garamond" w:hAnsi="Garamond"/>
          <w:sz w:val="22"/>
          <w:szCs w:val="22"/>
        </w:rPr>
        <w:t xml:space="preserve">funkcjonujących </w:t>
      </w:r>
      <w:r w:rsidRPr="0094451C">
        <w:rPr>
          <w:rFonts w:ascii="Garamond" w:hAnsi="Garamond"/>
          <w:sz w:val="22"/>
          <w:szCs w:val="22"/>
        </w:rPr>
        <w:t xml:space="preserve">w gminach jest podobny. Skupiają się na tematyce </w:t>
      </w:r>
      <w:r w:rsidR="00C14692" w:rsidRPr="0094451C">
        <w:rPr>
          <w:rFonts w:ascii="Garamond" w:hAnsi="Garamond"/>
          <w:sz w:val="22"/>
          <w:szCs w:val="22"/>
        </w:rPr>
        <w:t>dotyczącej krzewienia</w:t>
      </w:r>
      <w:r w:rsidRPr="0094451C">
        <w:rPr>
          <w:rFonts w:ascii="Garamond" w:hAnsi="Garamond"/>
          <w:sz w:val="22"/>
          <w:szCs w:val="22"/>
        </w:rPr>
        <w:t xml:space="preserve"> kultury, sportu, integracji i aktywizacji społecznej w tym współpracy z seniorami i młodzieżą</w:t>
      </w:r>
      <w:r w:rsidR="00C14692" w:rsidRPr="0094451C">
        <w:rPr>
          <w:rFonts w:ascii="Garamond" w:hAnsi="Garamond"/>
          <w:sz w:val="22"/>
          <w:szCs w:val="22"/>
        </w:rPr>
        <w:t xml:space="preserve">. Występują też organizacje miłośników danego terenu </w:t>
      </w:r>
      <w:r w:rsidR="000C4514" w:rsidRPr="0094451C">
        <w:rPr>
          <w:rFonts w:ascii="Garamond" w:hAnsi="Garamond"/>
          <w:sz w:val="22"/>
          <w:szCs w:val="22"/>
        </w:rPr>
        <w:t>oraz</w:t>
      </w:r>
      <w:r w:rsidR="00C14692" w:rsidRPr="0094451C">
        <w:rPr>
          <w:rFonts w:ascii="Garamond" w:hAnsi="Garamond"/>
          <w:sz w:val="22"/>
          <w:szCs w:val="22"/>
        </w:rPr>
        <w:t xml:space="preserve"> pracujące nad rozwojem gminy/wsi </w:t>
      </w:r>
      <w:r w:rsidR="000C4514" w:rsidRPr="0094451C">
        <w:rPr>
          <w:rFonts w:ascii="Garamond" w:hAnsi="Garamond"/>
          <w:sz w:val="22"/>
          <w:szCs w:val="22"/>
        </w:rPr>
        <w:t>czy</w:t>
      </w:r>
      <w:r w:rsidR="00C14692" w:rsidRPr="0094451C">
        <w:rPr>
          <w:rFonts w:ascii="Garamond" w:hAnsi="Garamond"/>
          <w:sz w:val="22"/>
          <w:szCs w:val="22"/>
        </w:rPr>
        <w:t xml:space="preserve"> rolnictwa.</w:t>
      </w:r>
    </w:p>
    <w:p w:rsidR="00472369" w:rsidRPr="00A12CB9" w:rsidRDefault="00472369" w:rsidP="00477B34">
      <w:pPr>
        <w:jc w:val="both"/>
        <w:rPr>
          <w:rFonts w:ascii="Garamond" w:hAnsi="Garamond"/>
          <w:color w:val="0070C0"/>
          <w:sz w:val="22"/>
          <w:szCs w:val="22"/>
        </w:rPr>
      </w:pPr>
    </w:p>
    <w:p w:rsidR="00D354FF" w:rsidRPr="001008BD" w:rsidRDefault="00F5537D" w:rsidP="001008BD">
      <w:pPr>
        <w:shd w:val="clear" w:color="auto" w:fill="8DB3E2" w:themeFill="text2" w:themeFillTint="66"/>
        <w:spacing w:after="0" w:line="240" w:lineRule="auto"/>
        <w:jc w:val="center"/>
        <w:rPr>
          <w:rFonts w:ascii="Garamond" w:hAnsi="Garamond"/>
          <w:b/>
          <w:sz w:val="22"/>
          <w:szCs w:val="22"/>
        </w:rPr>
      </w:pPr>
      <w:r>
        <w:rPr>
          <w:rFonts w:ascii="Garamond" w:hAnsi="Garamond"/>
          <w:b/>
          <w:sz w:val="22"/>
          <w:szCs w:val="22"/>
        </w:rPr>
        <w:t>KULTURA</w:t>
      </w:r>
    </w:p>
    <w:p w:rsidR="001C296C" w:rsidRPr="005E7297" w:rsidRDefault="001C296C" w:rsidP="00B13B18">
      <w:pPr>
        <w:spacing w:before="240" w:after="0"/>
        <w:jc w:val="both"/>
        <w:rPr>
          <w:rFonts w:ascii="Garamond" w:hAnsi="Garamond"/>
          <w:b/>
          <w:color w:val="0070C0"/>
          <w:sz w:val="22"/>
          <w:szCs w:val="22"/>
        </w:rPr>
      </w:pPr>
      <w:r w:rsidRPr="005E7297">
        <w:rPr>
          <w:rFonts w:ascii="Garamond" w:hAnsi="Garamond"/>
          <w:sz w:val="22"/>
          <w:szCs w:val="22"/>
        </w:rPr>
        <w:t xml:space="preserve">Ze względu na bogatą i złożoną historię oraz wielokulturową i unikalną tradycję (w tym zwłaszcza rybacką) obszar objęty Strategią </w:t>
      </w:r>
      <w:r w:rsidRPr="005E7297">
        <w:rPr>
          <w:rFonts w:ascii="Garamond" w:hAnsi="Garamond"/>
          <w:b/>
          <w:color w:val="0070C0"/>
          <w:sz w:val="22"/>
          <w:szCs w:val="22"/>
        </w:rPr>
        <w:t>posiada znaczne zasoby dziedzictwa historycznego i kulturowego.</w:t>
      </w:r>
    </w:p>
    <w:p w:rsidR="004D64EB" w:rsidRPr="005E7297" w:rsidRDefault="001C296C" w:rsidP="00B13B18">
      <w:pPr>
        <w:spacing w:before="240" w:after="0"/>
        <w:jc w:val="both"/>
        <w:rPr>
          <w:rFonts w:ascii="Garamond" w:hAnsi="Garamond"/>
          <w:sz w:val="22"/>
          <w:szCs w:val="22"/>
        </w:rPr>
      </w:pPr>
      <w:r w:rsidRPr="005E7297">
        <w:rPr>
          <w:rFonts w:ascii="Garamond" w:hAnsi="Garamond"/>
          <w:sz w:val="22"/>
          <w:szCs w:val="22"/>
        </w:rPr>
        <w:t xml:space="preserve">Ważnym elementem struktury kulturowej są obiekty architektury i budownictwa wpisane do rejestru zabytków. </w:t>
      </w:r>
      <w:r w:rsidR="001B5C6E" w:rsidRPr="005E7297">
        <w:rPr>
          <w:rFonts w:ascii="Garamond" w:hAnsi="Garamond"/>
          <w:sz w:val="22"/>
          <w:szCs w:val="22"/>
        </w:rPr>
        <w:t>Na koniec 2012 r. w</w:t>
      </w:r>
      <w:r w:rsidR="001D2BF8" w:rsidRPr="005E7297">
        <w:rPr>
          <w:rFonts w:ascii="Garamond" w:hAnsi="Garamond"/>
          <w:sz w:val="22"/>
          <w:szCs w:val="22"/>
        </w:rPr>
        <w:t xml:space="preserve"> </w:t>
      </w:r>
      <w:r w:rsidR="001B5C6E" w:rsidRPr="005E7297">
        <w:rPr>
          <w:rFonts w:ascii="Garamond" w:hAnsi="Garamond"/>
          <w:sz w:val="22"/>
          <w:szCs w:val="22"/>
        </w:rPr>
        <w:t xml:space="preserve">rejestrze zabytków </w:t>
      </w:r>
      <w:r w:rsidR="001D2BF8" w:rsidRPr="005E7297">
        <w:rPr>
          <w:rFonts w:ascii="Garamond" w:hAnsi="Garamond"/>
          <w:sz w:val="22"/>
          <w:szCs w:val="22"/>
        </w:rPr>
        <w:t xml:space="preserve">Pomorskiego Wojewódzkiego Konserwatora Zabytków, </w:t>
      </w:r>
      <w:r w:rsidR="001B5C6E" w:rsidRPr="005E7297">
        <w:rPr>
          <w:rFonts w:ascii="Garamond" w:hAnsi="Garamond"/>
          <w:sz w:val="22"/>
          <w:szCs w:val="22"/>
        </w:rPr>
        <w:t xml:space="preserve">było zapisanych 61 </w:t>
      </w:r>
      <w:r w:rsidR="00B37B76" w:rsidRPr="005E7297">
        <w:rPr>
          <w:rFonts w:ascii="Garamond" w:hAnsi="Garamond"/>
          <w:sz w:val="22"/>
          <w:szCs w:val="22"/>
        </w:rPr>
        <w:t xml:space="preserve">pozycji </w:t>
      </w:r>
      <w:r w:rsidR="001B5C6E" w:rsidRPr="005E7297">
        <w:rPr>
          <w:rFonts w:ascii="Garamond" w:hAnsi="Garamond"/>
          <w:sz w:val="22"/>
          <w:szCs w:val="22"/>
        </w:rPr>
        <w:t>zabytków nieruchomych z powiatu puckiego oraz 5</w:t>
      </w:r>
      <w:r w:rsidR="00B37B76" w:rsidRPr="005E7297">
        <w:rPr>
          <w:rFonts w:ascii="Garamond" w:hAnsi="Garamond"/>
          <w:sz w:val="22"/>
          <w:szCs w:val="22"/>
        </w:rPr>
        <w:t>9 z powiatu wejherowskiego, co stanowi 6,7% z całego województwa.</w:t>
      </w:r>
      <w:r w:rsidR="00945457" w:rsidRPr="005E7297">
        <w:rPr>
          <w:rFonts w:ascii="Garamond" w:hAnsi="Garamond"/>
          <w:sz w:val="22"/>
          <w:szCs w:val="22"/>
        </w:rPr>
        <w:t xml:space="preserve"> Do specyficznych zasobów obszaru należą te, które świadczą o jego tożsamości i specyfice, w tym zwłaszcza o jego nadmorskim położeniu. </w:t>
      </w:r>
      <w:r w:rsidR="00E11B23" w:rsidRPr="005E7297">
        <w:rPr>
          <w:rFonts w:ascii="Garamond" w:hAnsi="Garamond"/>
          <w:sz w:val="22"/>
          <w:szCs w:val="22"/>
        </w:rPr>
        <w:t xml:space="preserve">Potencjał kulturowy </w:t>
      </w:r>
      <w:r w:rsidR="00902E6C" w:rsidRPr="005E7297">
        <w:rPr>
          <w:rFonts w:ascii="Garamond" w:hAnsi="Garamond"/>
          <w:sz w:val="22"/>
          <w:szCs w:val="22"/>
        </w:rPr>
        <w:t xml:space="preserve">obszaru </w:t>
      </w:r>
      <w:r w:rsidR="00020668" w:rsidRPr="005E7297">
        <w:rPr>
          <w:rFonts w:ascii="Garamond" w:hAnsi="Garamond"/>
          <w:sz w:val="22"/>
          <w:szCs w:val="22"/>
        </w:rPr>
        <w:t>PLGR</w:t>
      </w:r>
      <w:r w:rsidR="00E11B23" w:rsidRPr="005E7297">
        <w:rPr>
          <w:rFonts w:ascii="Garamond" w:hAnsi="Garamond"/>
          <w:sz w:val="22"/>
          <w:szCs w:val="22"/>
        </w:rPr>
        <w:t xml:space="preserve"> wzbogacają zabytkowe zespoły przestrzenne</w:t>
      </w:r>
      <w:r w:rsidR="00020668" w:rsidRPr="005E7297">
        <w:rPr>
          <w:rFonts w:ascii="Garamond" w:hAnsi="Garamond"/>
          <w:sz w:val="22"/>
          <w:szCs w:val="22"/>
        </w:rPr>
        <w:t xml:space="preserve"> tj. </w:t>
      </w:r>
      <w:r w:rsidR="00E11B23" w:rsidRPr="005E7297">
        <w:rPr>
          <w:rFonts w:ascii="Garamond" w:hAnsi="Garamond"/>
          <w:sz w:val="22"/>
          <w:szCs w:val="22"/>
        </w:rPr>
        <w:t>Puck – układ urbanistyczny miasta</w:t>
      </w:r>
      <w:r w:rsidR="00945457" w:rsidRPr="005E7297">
        <w:rPr>
          <w:rFonts w:ascii="Garamond" w:hAnsi="Garamond"/>
          <w:sz w:val="22"/>
          <w:szCs w:val="22"/>
        </w:rPr>
        <w:t>,</w:t>
      </w:r>
      <w:r w:rsidR="00FC587F" w:rsidRPr="005E7297">
        <w:rPr>
          <w:rFonts w:ascii="Garamond" w:hAnsi="Garamond"/>
          <w:sz w:val="22"/>
          <w:szCs w:val="22"/>
        </w:rPr>
        <w:t xml:space="preserve"> </w:t>
      </w:r>
      <w:r w:rsidR="00945457" w:rsidRPr="005E7297">
        <w:rPr>
          <w:rFonts w:ascii="Garamond" w:hAnsi="Garamond"/>
          <w:sz w:val="22"/>
          <w:szCs w:val="22"/>
        </w:rPr>
        <w:t>historyczne wsie rybackie (Hel, Jastarnia, Kuźnice, Rewa) czy latarnia morska wraz z towarzyszącą zabudową w Helu</w:t>
      </w:r>
      <w:r w:rsidR="00FC587F" w:rsidRPr="005E7297">
        <w:rPr>
          <w:rFonts w:ascii="Garamond" w:hAnsi="Garamond"/>
          <w:sz w:val="22"/>
          <w:szCs w:val="22"/>
        </w:rPr>
        <w:t>.</w:t>
      </w:r>
      <w:r w:rsidR="004D64EB" w:rsidRPr="005E7297">
        <w:rPr>
          <w:rFonts w:ascii="Garamond" w:hAnsi="Garamond"/>
          <w:sz w:val="22"/>
          <w:szCs w:val="22"/>
        </w:rPr>
        <w:t xml:space="preserve"> Istotny jest również 1 z 4. w województwie park kulturowy „Osada Łowców Fok” w Rzucewie (gm. Puck), gdzie od ponad 100 lat trwa</w:t>
      </w:r>
      <w:r w:rsidR="00922C66" w:rsidRPr="005E7297">
        <w:rPr>
          <w:rFonts w:ascii="Garamond" w:hAnsi="Garamond"/>
          <w:sz w:val="22"/>
          <w:szCs w:val="22"/>
        </w:rPr>
        <w:t>ją</w:t>
      </w:r>
      <w:r w:rsidR="004D64EB" w:rsidRPr="005E7297">
        <w:rPr>
          <w:rFonts w:ascii="Garamond" w:hAnsi="Garamond"/>
          <w:sz w:val="22"/>
          <w:szCs w:val="22"/>
        </w:rPr>
        <w:t xml:space="preserve"> prace archeologiczne</w:t>
      </w:r>
      <w:r w:rsidR="00BB2852" w:rsidRPr="005E7297">
        <w:rPr>
          <w:rFonts w:ascii="Garamond" w:hAnsi="Garamond"/>
          <w:sz w:val="22"/>
          <w:szCs w:val="22"/>
        </w:rPr>
        <w:t xml:space="preserve"> (http://rzucewo.com)</w:t>
      </w:r>
      <w:r w:rsidR="004D64EB" w:rsidRPr="005E7297">
        <w:rPr>
          <w:rFonts w:ascii="Garamond" w:hAnsi="Garamond"/>
          <w:sz w:val="22"/>
          <w:szCs w:val="22"/>
        </w:rPr>
        <w:t>.</w:t>
      </w:r>
    </w:p>
    <w:p w:rsidR="007270EB" w:rsidRPr="005E7297" w:rsidRDefault="0023131C" w:rsidP="001B5C6E">
      <w:pPr>
        <w:spacing w:after="0"/>
        <w:jc w:val="both"/>
        <w:rPr>
          <w:rFonts w:ascii="Garamond" w:hAnsi="Garamond"/>
          <w:sz w:val="22"/>
          <w:szCs w:val="22"/>
        </w:rPr>
      </w:pPr>
      <w:r w:rsidRPr="005E7297">
        <w:rPr>
          <w:rFonts w:ascii="Garamond" w:hAnsi="Garamond"/>
          <w:sz w:val="22"/>
          <w:szCs w:val="22"/>
        </w:rPr>
        <w:t xml:space="preserve">Ważną cechą obszaru </w:t>
      </w:r>
      <w:r w:rsidR="007270EB" w:rsidRPr="005E7297">
        <w:rPr>
          <w:rFonts w:ascii="Garamond" w:hAnsi="Garamond"/>
          <w:sz w:val="22"/>
          <w:szCs w:val="22"/>
        </w:rPr>
        <w:t>P</w:t>
      </w:r>
      <w:r w:rsidRPr="005E7297">
        <w:rPr>
          <w:rFonts w:ascii="Garamond" w:hAnsi="Garamond"/>
          <w:sz w:val="22"/>
          <w:szCs w:val="22"/>
        </w:rPr>
        <w:t xml:space="preserve">LGR jest </w:t>
      </w:r>
      <w:r w:rsidRPr="005E7297">
        <w:rPr>
          <w:rFonts w:ascii="Garamond" w:hAnsi="Garamond"/>
          <w:b/>
          <w:color w:val="0070C0"/>
          <w:sz w:val="22"/>
          <w:szCs w:val="22"/>
        </w:rPr>
        <w:t>tradycja kaszubska</w:t>
      </w:r>
      <w:r w:rsidRPr="005E7297">
        <w:rPr>
          <w:rFonts w:ascii="Garamond" w:hAnsi="Garamond"/>
          <w:sz w:val="22"/>
          <w:szCs w:val="22"/>
        </w:rPr>
        <w:t xml:space="preserve">, kultywowana </w:t>
      </w:r>
      <w:r w:rsidR="00FB3332" w:rsidRPr="005E7297">
        <w:rPr>
          <w:rFonts w:ascii="Garamond" w:hAnsi="Garamond"/>
          <w:sz w:val="22"/>
          <w:szCs w:val="22"/>
        </w:rPr>
        <w:t xml:space="preserve">przede wszystkim </w:t>
      </w:r>
      <w:r w:rsidRPr="005E7297">
        <w:rPr>
          <w:rFonts w:ascii="Garamond" w:hAnsi="Garamond"/>
          <w:sz w:val="22"/>
          <w:szCs w:val="22"/>
        </w:rPr>
        <w:t>w</w:t>
      </w:r>
      <w:r w:rsidR="00FB3332" w:rsidRPr="005E7297">
        <w:rPr>
          <w:rFonts w:ascii="Garamond" w:hAnsi="Garamond"/>
          <w:sz w:val="22"/>
          <w:szCs w:val="22"/>
        </w:rPr>
        <w:t xml:space="preserve"> języku i kuchni, a w ostatnich latach także </w:t>
      </w:r>
      <w:r w:rsidR="00902E6C" w:rsidRPr="005E7297">
        <w:rPr>
          <w:rFonts w:ascii="Garamond" w:hAnsi="Garamond"/>
          <w:sz w:val="22"/>
          <w:szCs w:val="22"/>
        </w:rPr>
        <w:t xml:space="preserve">w </w:t>
      </w:r>
      <w:proofErr w:type="spellStart"/>
      <w:r w:rsidR="00FB3332" w:rsidRPr="005E7297">
        <w:rPr>
          <w:rFonts w:ascii="Garamond" w:hAnsi="Garamond"/>
          <w:sz w:val="22"/>
          <w:szCs w:val="22"/>
        </w:rPr>
        <w:t>designie</w:t>
      </w:r>
      <w:proofErr w:type="spellEnd"/>
      <w:r w:rsidR="00FB3332" w:rsidRPr="005E7297">
        <w:rPr>
          <w:rFonts w:ascii="Garamond" w:hAnsi="Garamond"/>
          <w:sz w:val="22"/>
          <w:szCs w:val="22"/>
        </w:rPr>
        <w:t>.</w:t>
      </w:r>
    </w:p>
    <w:p w:rsidR="001C296C" w:rsidRPr="005E7297" w:rsidRDefault="001C296C" w:rsidP="001C296C">
      <w:pPr>
        <w:spacing w:before="240" w:after="0"/>
        <w:jc w:val="both"/>
        <w:rPr>
          <w:rFonts w:ascii="Garamond" w:hAnsi="Garamond"/>
          <w:sz w:val="22"/>
          <w:szCs w:val="22"/>
        </w:rPr>
      </w:pPr>
      <w:r w:rsidRPr="005E7297">
        <w:rPr>
          <w:rFonts w:ascii="Garamond" w:hAnsi="Garamond"/>
          <w:sz w:val="22"/>
          <w:szCs w:val="22"/>
        </w:rPr>
        <w:t xml:space="preserve">W przeciwieństwie do średniej wojewódzkiej, na obszarze PLGR ma miejsce </w:t>
      </w:r>
      <w:r w:rsidRPr="005E7297">
        <w:rPr>
          <w:rFonts w:ascii="Garamond" w:hAnsi="Garamond"/>
          <w:b/>
          <w:color w:val="0070C0"/>
          <w:sz w:val="22"/>
          <w:szCs w:val="22"/>
        </w:rPr>
        <w:t xml:space="preserve">spadek czytelnictwa </w:t>
      </w:r>
      <w:r w:rsidRPr="005E7297">
        <w:rPr>
          <w:rFonts w:ascii="Garamond" w:hAnsi="Garamond"/>
          <w:sz w:val="22"/>
          <w:szCs w:val="22"/>
        </w:rPr>
        <w:t>o blisko 6</w:t>
      </w:r>
      <w:r w:rsidR="00681ABA" w:rsidRPr="005E7297">
        <w:rPr>
          <w:rFonts w:ascii="Garamond" w:hAnsi="Garamond"/>
          <w:sz w:val="22"/>
          <w:szCs w:val="22"/>
        </w:rPr>
        <w:t>,0</w:t>
      </w:r>
      <w:r w:rsidRPr="005E7297">
        <w:rPr>
          <w:rFonts w:ascii="Garamond" w:hAnsi="Garamond"/>
          <w:sz w:val="22"/>
          <w:szCs w:val="22"/>
        </w:rPr>
        <w:t>% (przy wzroście w regionie o 2</w:t>
      </w:r>
      <w:r w:rsidR="00681ABA" w:rsidRPr="005E7297">
        <w:rPr>
          <w:rFonts w:ascii="Garamond" w:hAnsi="Garamond"/>
          <w:sz w:val="22"/>
          <w:szCs w:val="22"/>
        </w:rPr>
        <w:t>,0</w:t>
      </w:r>
      <w:r w:rsidRPr="005E7297">
        <w:rPr>
          <w:rFonts w:ascii="Garamond" w:hAnsi="Garamond"/>
          <w:sz w:val="22"/>
          <w:szCs w:val="22"/>
        </w:rPr>
        <w:t>%). W latach 2007-2012 znaczące obniżenie odnotowano w gminie Krokowa (o 26,5%). Z kolei największy wzrost miał miejsce w Kosakowie (48,7%), jednak nie pozwolił on na poprawę miejsca gminy, która należy do najgorszych w całym analizowanym obszarze.</w:t>
      </w:r>
    </w:p>
    <w:p w:rsidR="001C296C" w:rsidRPr="005E7297" w:rsidRDefault="001C296C" w:rsidP="001C296C">
      <w:pPr>
        <w:spacing w:after="0"/>
        <w:jc w:val="both"/>
        <w:rPr>
          <w:rFonts w:ascii="Garamond" w:hAnsi="Garamond"/>
          <w:sz w:val="22"/>
          <w:szCs w:val="22"/>
        </w:rPr>
      </w:pPr>
      <w:r w:rsidRPr="005E7297">
        <w:rPr>
          <w:rFonts w:ascii="Garamond" w:hAnsi="Garamond"/>
          <w:sz w:val="22"/>
          <w:szCs w:val="22"/>
        </w:rPr>
        <w:t xml:space="preserve">Lepsza sytuacja występuje w miastach. Wskaźnik określający czytelników bibliotek publicznych na 1 tys. ludności jest zdecydowanie wyższy od średniej </w:t>
      </w:r>
      <w:r w:rsidR="0094451C" w:rsidRPr="005E7297">
        <w:rPr>
          <w:rFonts w:ascii="Garamond" w:hAnsi="Garamond"/>
          <w:sz w:val="22"/>
          <w:szCs w:val="22"/>
        </w:rPr>
        <w:t xml:space="preserve">dla województwa, (która wynosi </w:t>
      </w:r>
      <w:r w:rsidRPr="005E7297">
        <w:rPr>
          <w:rFonts w:ascii="Garamond" w:hAnsi="Garamond"/>
          <w:sz w:val="22"/>
          <w:szCs w:val="22"/>
        </w:rPr>
        <w:t>155 osób</w:t>
      </w:r>
      <w:r w:rsidR="0094451C" w:rsidRPr="005E7297">
        <w:rPr>
          <w:rFonts w:ascii="Garamond" w:hAnsi="Garamond"/>
          <w:sz w:val="22"/>
          <w:szCs w:val="22"/>
        </w:rPr>
        <w:t>)</w:t>
      </w:r>
      <w:r w:rsidRPr="005E7297">
        <w:rPr>
          <w:rFonts w:ascii="Garamond" w:hAnsi="Garamond"/>
          <w:sz w:val="22"/>
          <w:szCs w:val="22"/>
        </w:rPr>
        <w:t xml:space="preserve"> w</w:t>
      </w:r>
      <w:r w:rsidR="0037167B" w:rsidRPr="005E7297">
        <w:rPr>
          <w:rFonts w:ascii="Garamond" w:hAnsi="Garamond"/>
          <w:sz w:val="22"/>
          <w:szCs w:val="22"/>
        </w:rPr>
        <w:t xml:space="preserve"> miastach</w:t>
      </w:r>
      <w:r w:rsidRPr="005E7297">
        <w:rPr>
          <w:rFonts w:ascii="Garamond" w:hAnsi="Garamond"/>
          <w:sz w:val="22"/>
          <w:szCs w:val="22"/>
        </w:rPr>
        <w:t>: Puck (209), Władysławo</w:t>
      </w:r>
      <w:r w:rsidR="0037167B" w:rsidRPr="005E7297">
        <w:rPr>
          <w:rFonts w:ascii="Garamond" w:hAnsi="Garamond"/>
          <w:sz w:val="22"/>
          <w:szCs w:val="22"/>
        </w:rPr>
        <w:t xml:space="preserve">wo (170) i Hel </w:t>
      </w:r>
      <w:r w:rsidRPr="005E7297">
        <w:rPr>
          <w:rFonts w:ascii="Garamond" w:hAnsi="Garamond"/>
          <w:sz w:val="22"/>
          <w:szCs w:val="22"/>
        </w:rPr>
        <w:t xml:space="preserve">(160). </w:t>
      </w:r>
    </w:p>
    <w:p w:rsidR="001C296C" w:rsidRPr="005E7297" w:rsidRDefault="001C296C" w:rsidP="001C296C">
      <w:pPr>
        <w:jc w:val="both"/>
        <w:rPr>
          <w:rFonts w:ascii="Garamond" w:hAnsi="Garamond"/>
          <w:sz w:val="22"/>
          <w:szCs w:val="22"/>
        </w:rPr>
      </w:pPr>
      <w:r w:rsidRPr="005E7297">
        <w:rPr>
          <w:rFonts w:ascii="Garamond" w:hAnsi="Garamond"/>
          <w:sz w:val="22"/>
          <w:szCs w:val="22"/>
        </w:rPr>
        <w:t>Ponadto, w związku ze wzrostem liczby mieszkańców, rośnie liczba osób przypadająca na 1 placówkę biblioteczną oraz maleje księgozbiór na 1 tys. osób.</w:t>
      </w:r>
    </w:p>
    <w:p w:rsidR="001C296C" w:rsidRPr="005E7297" w:rsidRDefault="001C296C" w:rsidP="001C296C">
      <w:pPr>
        <w:spacing w:after="0"/>
        <w:jc w:val="both"/>
        <w:rPr>
          <w:rFonts w:ascii="Garamond" w:hAnsi="Garamond"/>
          <w:sz w:val="22"/>
          <w:szCs w:val="22"/>
        </w:rPr>
      </w:pPr>
      <w:r w:rsidRPr="005E7297">
        <w:rPr>
          <w:rFonts w:ascii="Garamond" w:hAnsi="Garamond"/>
          <w:sz w:val="22"/>
          <w:szCs w:val="22"/>
        </w:rPr>
        <w:lastRenderedPageBreak/>
        <w:t xml:space="preserve">Na obszarze PLGR </w:t>
      </w:r>
      <w:r w:rsidRPr="005E7297">
        <w:rPr>
          <w:rFonts w:ascii="Garamond" w:hAnsi="Garamond"/>
          <w:b/>
          <w:color w:val="0070C0"/>
          <w:sz w:val="22"/>
          <w:szCs w:val="22"/>
        </w:rPr>
        <w:t>wzrasta zainteresowanie kulturą fizyczną</w:t>
      </w:r>
      <w:r w:rsidRPr="005E7297">
        <w:rPr>
          <w:rFonts w:ascii="Garamond" w:hAnsi="Garamond"/>
          <w:sz w:val="22"/>
          <w:szCs w:val="22"/>
        </w:rPr>
        <w:t xml:space="preserve">, co jest trendem odmiennym </w:t>
      </w:r>
      <w:r w:rsidR="0037167B" w:rsidRPr="005E7297">
        <w:rPr>
          <w:rFonts w:ascii="Garamond" w:hAnsi="Garamond"/>
          <w:sz w:val="22"/>
          <w:szCs w:val="22"/>
        </w:rPr>
        <w:t>od procesów zachodzących w</w:t>
      </w:r>
      <w:r w:rsidRPr="005E7297">
        <w:rPr>
          <w:rFonts w:ascii="Garamond" w:hAnsi="Garamond"/>
          <w:sz w:val="22"/>
          <w:szCs w:val="22"/>
        </w:rPr>
        <w:t xml:space="preserve"> wojewódz</w:t>
      </w:r>
      <w:r w:rsidR="0037167B" w:rsidRPr="005E7297">
        <w:rPr>
          <w:rFonts w:ascii="Garamond" w:hAnsi="Garamond"/>
          <w:sz w:val="22"/>
          <w:szCs w:val="22"/>
        </w:rPr>
        <w:t>twie</w:t>
      </w:r>
      <w:r w:rsidRPr="005E7297">
        <w:rPr>
          <w:rFonts w:ascii="Garamond" w:hAnsi="Garamond"/>
          <w:sz w:val="22"/>
          <w:szCs w:val="22"/>
        </w:rPr>
        <w:t>. Zarówno liczba członków klubów sportowych jak i osób ćwiczących rośnie (od 2008 r. do 2012 r. odpowiednio o 15% i 11%, przy spadku w województwie o 19% i 15%). Największy wzrost, po otwarciu 4 nowych klubów, odnotowano w gminie Wejherowo oraz Jastarni.</w:t>
      </w:r>
    </w:p>
    <w:p w:rsidR="001C296C" w:rsidRPr="005E7297" w:rsidRDefault="001C296C" w:rsidP="001C296C">
      <w:pPr>
        <w:spacing w:after="0"/>
        <w:jc w:val="both"/>
        <w:rPr>
          <w:rFonts w:ascii="Garamond" w:hAnsi="Garamond"/>
          <w:sz w:val="22"/>
          <w:szCs w:val="22"/>
        </w:rPr>
      </w:pPr>
      <w:r w:rsidRPr="005E7297">
        <w:rPr>
          <w:rFonts w:ascii="Garamond" w:hAnsi="Garamond"/>
          <w:sz w:val="22"/>
          <w:szCs w:val="22"/>
        </w:rPr>
        <w:t>Pod względem liczby członków klubów sportowych w odniesieniu do 1 tys. ludności gminy tworzące obszar PLGR w 2012 r. przekroczyły średnią w regionie (19,9 na obszarze PLGR w stosunku do 18,9 dla województwa). Odnośnie osób ćwiczących wskaźnik jest zbliżony do średniej wojewódzkiej (18,0 do 18,3 osób/1 tys. mieszkańców).</w:t>
      </w:r>
    </w:p>
    <w:p w:rsidR="001C296C" w:rsidRDefault="001C296C" w:rsidP="001C296C">
      <w:pPr>
        <w:spacing w:after="0"/>
        <w:jc w:val="both"/>
        <w:rPr>
          <w:rFonts w:ascii="Garamond" w:hAnsi="Garamond"/>
          <w:sz w:val="22"/>
          <w:szCs w:val="22"/>
        </w:rPr>
      </w:pPr>
      <w:r w:rsidRPr="005E7297">
        <w:rPr>
          <w:rFonts w:ascii="Garamond" w:hAnsi="Garamond"/>
          <w:sz w:val="22"/>
          <w:szCs w:val="22"/>
        </w:rPr>
        <w:t xml:space="preserve">Warto zauważyć, </w:t>
      </w:r>
      <w:r w:rsidRPr="005E7297">
        <w:rPr>
          <w:rFonts w:ascii="Garamond" w:hAnsi="Garamond"/>
          <w:b/>
          <w:color w:val="0070C0"/>
          <w:sz w:val="22"/>
          <w:szCs w:val="22"/>
        </w:rPr>
        <w:t>znaczącą dysproporcje w udziale kobiet ćwiczących w klubach sportowych</w:t>
      </w:r>
      <w:r w:rsidRPr="005E7297">
        <w:rPr>
          <w:rFonts w:ascii="Garamond" w:hAnsi="Garamond"/>
          <w:sz w:val="22"/>
          <w:szCs w:val="22"/>
        </w:rPr>
        <w:t>. Średnio stanowią one ¼ uczestników zajęć. Skrajną sytuacje obserwuje się w gminie Krokowa (11,1%) oraz wyjątkowo pozytywną w Jastarni (44,4%).</w:t>
      </w:r>
    </w:p>
    <w:p w:rsidR="00472369" w:rsidRDefault="00472369" w:rsidP="0003087D">
      <w:pPr>
        <w:jc w:val="both"/>
        <w:rPr>
          <w:rFonts w:ascii="Garamond" w:hAnsi="Garamond"/>
          <w:sz w:val="22"/>
          <w:szCs w:val="22"/>
        </w:rPr>
      </w:pPr>
    </w:p>
    <w:p w:rsidR="00D354FF" w:rsidRPr="00D354FF" w:rsidRDefault="00D354FF" w:rsidP="00D354FF">
      <w:pPr>
        <w:shd w:val="clear" w:color="auto" w:fill="5F497A" w:themeFill="accent4" w:themeFillShade="BF"/>
        <w:spacing w:after="0"/>
        <w:jc w:val="center"/>
        <w:rPr>
          <w:rFonts w:ascii="Garamond" w:hAnsi="Garamond"/>
          <w:b/>
          <w:color w:val="FFFFFF" w:themeColor="background1"/>
          <w:sz w:val="22"/>
          <w:szCs w:val="22"/>
        </w:rPr>
      </w:pPr>
      <w:r w:rsidRPr="00D354FF">
        <w:rPr>
          <w:rFonts w:ascii="Garamond" w:hAnsi="Garamond"/>
          <w:b/>
          <w:color w:val="FFFFFF" w:themeColor="background1"/>
          <w:sz w:val="22"/>
          <w:szCs w:val="22"/>
        </w:rPr>
        <w:t>GOSPODARKA</w:t>
      </w:r>
    </w:p>
    <w:p w:rsidR="00D354FF" w:rsidRDefault="00D354FF" w:rsidP="00711A48">
      <w:pPr>
        <w:spacing w:after="0"/>
        <w:jc w:val="both"/>
        <w:rPr>
          <w:rFonts w:ascii="Garamond" w:hAnsi="Garamond"/>
          <w:sz w:val="22"/>
          <w:szCs w:val="22"/>
        </w:rPr>
      </w:pPr>
    </w:p>
    <w:p w:rsidR="00472369" w:rsidRDefault="00472369" w:rsidP="00711A48">
      <w:pPr>
        <w:spacing w:after="0"/>
        <w:jc w:val="both"/>
        <w:rPr>
          <w:rFonts w:ascii="Garamond" w:hAnsi="Garamond"/>
          <w:sz w:val="22"/>
          <w:szCs w:val="22"/>
        </w:rPr>
      </w:pPr>
    </w:p>
    <w:p w:rsidR="00D354FF" w:rsidRPr="00D354FF" w:rsidRDefault="00D354FF" w:rsidP="00E07C89">
      <w:pPr>
        <w:shd w:val="clear" w:color="auto" w:fill="B2A1C7" w:themeFill="accent4" w:themeFillTint="99"/>
        <w:spacing w:after="0" w:line="240" w:lineRule="auto"/>
        <w:jc w:val="center"/>
        <w:rPr>
          <w:rFonts w:ascii="Garamond" w:hAnsi="Garamond"/>
          <w:b/>
          <w:sz w:val="22"/>
          <w:szCs w:val="22"/>
        </w:rPr>
      </w:pPr>
      <w:r>
        <w:rPr>
          <w:rFonts w:ascii="Garamond" w:hAnsi="Garamond"/>
          <w:b/>
          <w:sz w:val="22"/>
          <w:szCs w:val="22"/>
        </w:rPr>
        <w:t>PRZEDSIĘBIORCZOŚĆ</w:t>
      </w:r>
    </w:p>
    <w:p w:rsidR="00711A48" w:rsidRPr="005E7297" w:rsidRDefault="00922E57" w:rsidP="001008BD">
      <w:pPr>
        <w:spacing w:before="240" w:after="0"/>
        <w:jc w:val="both"/>
        <w:rPr>
          <w:rFonts w:ascii="Garamond" w:hAnsi="Garamond" w:cs="Garamond"/>
          <w:sz w:val="22"/>
          <w:szCs w:val="24"/>
          <w:lang w:eastAsia="en-US"/>
        </w:rPr>
      </w:pPr>
      <w:r w:rsidRPr="005E7297">
        <w:rPr>
          <w:rFonts w:ascii="Garamond" w:hAnsi="Garamond" w:cs="Garamond"/>
          <w:sz w:val="22"/>
          <w:szCs w:val="24"/>
          <w:lang w:eastAsia="en-US"/>
        </w:rPr>
        <w:t xml:space="preserve">Obszar </w:t>
      </w:r>
      <w:r w:rsidR="00976004" w:rsidRPr="005E7297">
        <w:rPr>
          <w:rFonts w:ascii="Garamond" w:hAnsi="Garamond" w:cs="Garamond"/>
          <w:sz w:val="22"/>
          <w:szCs w:val="24"/>
          <w:lang w:eastAsia="en-US"/>
        </w:rPr>
        <w:t xml:space="preserve">PLGR cechuje </w:t>
      </w:r>
      <w:r w:rsidR="005D036C" w:rsidRPr="005E7297">
        <w:rPr>
          <w:rFonts w:ascii="Garamond" w:hAnsi="Garamond" w:cs="Garamond"/>
          <w:sz w:val="22"/>
          <w:szCs w:val="24"/>
          <w:lang w:eastAsia="en-US"/>
        </w:rPr>
        <w:t xml:space="preserve">relatywnie </w:t>
      </w:r>
      <w:r w:rsidR="00976004" w:rsidRPr="005E7297">
        <w:rPr>
          <w:rFonts w:ascii="Garamond" w:hAnsi="Garamond" w:cs="Garamond"/>
          <w:b/>
          <w:color w:val="7030A0"/>
          <w:sz w:val="22"/>
          <w:szCs w:val="24"/>
          <w:lang w:eastAsia="en-US"/>
        </w:rPr>
        <w:t xml:space="preserve">wysoka </w:t>
      </w:r>
      <w:r w:rsidR="000C2EE3" w:rsidRPr="005E7297">
        <w:rPr>
          <w:rFonts w:ascii="Garamond" w:hAnsi="Garamond" w:cs="Garamond"/>
          <w:b/>
          <w:color w:val="7030A0"/>
          <w:sz w:val="22"/>
          <w:szCs w:val="24"/>
          <w:lang w:eastAsia="en-US"/>
        </w:rPr>
        <w:t xml:space="preserve">przedsiębiorczość </w:t>
      </w:r>
      <w:r w:rsidR="00976004" w:rsidRPr="005E7297">
        <w:rPr>
          <w:rFonts w:ascii="Garamond" w:hAnsi="Garamond" w:cs="Garamond"/>
          <w:b/>
          <w:color w:val="7030A0"/>
          <w:sz w:val="22"/>
          <w:szCs w:val="24"/>
          <w:lang w:eastAsia="en-US"/>
        </w:rPr>
        <w:t>mieszkańców</w:t>
      </w:r>
      <w:r w:rsidR="00976004" w:rsidRPr="005E7297">
        <w:rPr>
          <w:rFonts w:ascii="Garamond" w:hAnsi="Garamond" w:cs="Garamond"/>
          <w:color w:val="7030A0"/>
          <w:sz w:val="22"/>
          <w:szCs w:val="24"/>
          <w:lang w:eastAsia="en-US"/>
        </w:rPr>
        <w:t xml:space="preserve"> </w:t>
      </w:r>
      <w:r w:rsidR="00976004" w:rsidRPr="005E7297">
        <w:rPr>
          <w:rFonts w:ascii="Garamond" w:hAnsi="Garamond" w:cs="Garamond"/>
          <w:sz w:val="22"/>
          <w:szCs w:val="24"/>
          <w:lang w:eastAsia="en-US"/>
        </w:rPr>
        <w:t xml:space="preserve">wyrażona m.in. dużą liczbą </w:t>
      </w:r>
      <w:r w:rsidR="00862547" w:rsidRPr="005E7297">
        <w:rPr>
          <w:rFonts w:ascii="Garamond" w:hAnsi="Garamond" w:cs="Garamond"/>
          <w:sz w:val="22"/>
          <w:szCs w:val="24"/>
          <w:lang w:eastAsia="en-US"/>
        </w:rPr>
        <w:t>podmiotów gospodarczych n</w:t>
      </w:r>
      <w:r w:rsidR="005D0652" w:rsidRPr="005E7297">
        <w:rPr>
          <w:rFonts w:ascii="Garamond" w:hAnsi="Garamond" w:cs="Garamond"/>
          <w:sz w:val="22"/>
          <w:szCs w:val="24"/>
          <w:lang w:eastAsia="en-US"/>
        </w:rPr>
        <w:t>a 1 tys. mieszkańców</w:t>
      </w:r>
      <w:r w:rsidR="007A4139" w:rsidRPr="005E7297">
        <w:rPr>
          <w:rFonts w:ascii="Garamond" w:hAnsi="Garamond" w:cs="Garamond"/>
          <w:sz w:val="22"/>
          <w:szCs w:val="24"/>
          <w:lang w:eastAsia="en-US"/>
        </w:rPr>
        <w:t xml:space="preserve"> (1302,3 przy średniej dla województwa 1183,8)</w:t>
      </w:r>
      <w:r w:rsidR="005D0652" w:rsidRPr="005E7297">
        <w:rPr>
          <w:rFonts w:ascii="Garamond" w:hAnsi="Garamond" w:cs="Garamond"/>
          <w:sz w:val="22"/>
          <w:szCs w:val="24"/>
          <w:lang w:eastAsia="en-US"/>
        </w:rPr>
        <w:t>, w tym M</w:t>
      </w:r>
      <w:r w:rsidR="00902E6C" w:rsidRPr="005E7297">
        <w:rPr>
          <w:rFonts w:ascii="Garamond" w:hAnsi="Garamond" w:cs="Garamond"/>
          <w:sz w:val="22"/>
          <w:szCs w:val="24"/>
          <w:lang w:eastAsia="en-US"/>
        </w:rPr>
        <w:t>Ś</w:t>
      </w:r>
      <w:r w:rsidR="005D0652" w:rsidRPr="005E7297">
        <w:rPr>
          <w:rFonts w:ascii="Garamond" w:hAnsi="Garamond" w:cs="Garamond"/>
          <w:sz w:val="22"/>
          <w:szCs w:val="24"/>
          <w:lang w:eastAsia="en-US"/>
        </w:rPr>
        <w:t>P.</w:t>
      </w:r>
      <w:r w:rsidR="004C0692" w:rsidRPr="005E7297">
        <w:rPr>
          <w:rFonts w:ascii="Garamond" w:hAnsi="Garamond" w:cs="Garamond"/>
          <w:sz w:val="22"/>
          <w:szCs w:val="24"/>
          <w:lang w:eastAsia="en-US"/>
        </w:rPr>
        <w:t xml:space="preserve"> Warto zauważyć, że w pięciu gminach </w:t>
      </w:r>
      <w:r w:rsidRPr="005E7297">
        <w:rPr>
          <w:rFonts w:ascii="Garamond" w:hAnsi="Garamond" w:cs="Garamond"/>
          <w:sz w:val="22"/>
          <w:szCs w:val="24"/>
          <w:lang w:eastAsia="en-US"/>
        </w:rPr>
        <w:t xml:space="preserve">obszaru </w:t>
      </w:r>
      <w:r w:rsidR="004C0692" w:rsidRPr="005E7297">
        <w:rPr>
          <w:rFonts w:ascii="Garamond" w:hAnsi="Garamond" w:cs="Garamond"/>
          <w:sz w:val="22"/>
          <w:szCs w:val="24"/>
          <w:lang w:eastAsia="en-US"/>
        </w:rPr>
        <w:t xml:space="preserve">PLGR: Hel, Jastarnia, Puck, </w:t>
      </w:r>
      <w:r w:rsidR="008C4B04" w:rsidRPr="005E7297">
        <w:rPr>
          <w:rFonts w:ascii="Garamond" w:hAnsi="Garamond" w:cs="Garamond"/>
          <w:sz w:val="22"/>
          <w:szCs w:val="24"/>
          <w:lang w:eastAsia="en-US"/>
        </w:rPr>
        <w:t>Kosakowo i Krokowa, M</w:t>
      </w:r>
      <w:r w:rsidR="00902E6C" w:rsidRPr="005E7297">
        <w:rPr>
          <w:rFonts w:ascii="Garamond" w:hAnsi="Garamond" w:cs="Garamond"/>
          <w:sz w:val="22"/>
          <w:szCs w:val="24"/>
          <w:lang w:eastAsia="en-US"/>
        </w:rPr>
        <w:t>Ś</w:t>
      </w:r>
      <w:r w:rsidR="008C4B04" w:rsidRPr="005E7297">
        <w:rPr>
          <w:rFonts w:ascii="Garamond" w:hAnsi="Garamond" w:cs="Garamond"/>
          <w:sz w:val="22"/>
          <w:szCs w:val="24"/>
          <w:lang w:eastAsia="en-US"/>
        </w:rPr>
        <w:t>P stanowią 100% firm.</w:t>
      </w:r>
      <w:r w:rsidR="00711A48" w:rsidRPr="005E7297">
        <w:rPr>
          <w:rFonts w:ascii="Garamond" w:hAnsi="Garamond" w:cs="Garamond"/>
          <w:sz w:val="22"/>
          <w:szCs w:val="24"/>
          <w:lang w:eastAsia="en-US"/>
        </w:rPr>
        <w:t xml:space="preserve"> </w:t>
      </w:r>
    </w:p>
    <w:p w:rsidR="00A36481" w:rsidRDefault="00A3472C" w:rsidP="00602CE3">
      <w:pPr>
        <w:spacing w:after="0"/>
        <w:jc w:val="both"/>
        <w:rPr>
          <w:rFonts w:ascii="Garamond" w:hAnsi="Garamond" w:cs="Garamond"/>
          <w:sz w:val="22"/>
          <w:szCs w:val="24"/>
          <w:lang w:eastAsia="en-US"/>
        </w:rPr>
      </w:pPr>
      <w:r w:rsidRPr="005E7297">
        <w:rPr>
          <w:rFonts w:ascii="Garamond" w:hAnsi="Garamond" w:cs="Garamond"/>
          <w:sz w:val="22"/>
          <w:szCs w:val="24"/>
          <w:lang w:eastAsia="en-US"/>
        </w:rPr>
        <w:t xml:space="preserve">W 2013 r. na obszarze PLGR było zarejestrowanych ponad 13,6 tys. firm. </w:t>
      </w:r>
      <w:r w:rsidR="007A7494" w:rsidRPr="005E7297">
        <w:rPr>
          <w:rFonts w:ascii="Garamond" w:hAnsi="Garamond" w:cs="Garamond"/>
          <w:sz w:val="22"/>
          <w:szCs w:val="24"/>
          <w:lang w:eastAsia="en-US"/>
        </w:rPr>
        <w:t>Między 2009 a 2013 r. przyrost podmiotów gospodarczych na 1 tys. mieszkańców był nieco niższy niż średnio w województwie</w:t>
      </w:r>
      <w:r w:rsidR="00BC1C86" w:rsidRPr="005E7297">
        <w:rPr>
          <w:rFonts w:ascii="Garamond" w:hAnsi="Garamond" w:cs="Garamond"/>
          <w:sz w:val="22"/>
          <w:szCs w:val="24"/>
          <w:lang w:eastAsia="en-US"/>
        </w:rPr>
        <w:t xml:space="preserve"> (4,7% do 5,9%)</w:t>
      </w:r>
      <w:r w:rsidR="007A7494" w:rsidRPr="005E7297">
        <w:rPr>
          <w:rFonts w:ascii="Garamond" w:hAnsi="Garamond" w:cs="Garamond"/>
          <w:sz w:val="22"/>
          <w:szCs w:val="24"/>
          <w:lang w:eastAsia="en-US"/>
        </w:rPr>
        <w:t xml:space="preserve">. Były jednak gminy, w których odnotowano znaczne wartości: </w:t>
      </w:r>
      <w:r w:rsidR="00BC1C86" w:rsidRPr="005E7297">
        <w:rPr>
          <w:rFonts w:ascii="Garamond" w:hAnsi="Garamond" w:cs="Garamond"/>
          <w:sz w:val="22"/>
          <w:szCs w:val="24"/>
          <w:lang w:eastAsia="en-US"/>
        </w:rPr>
        <w:t>Wejherowo (23,3%), Hel i Puck (15%). Tylko w</w:t>
      </w:r>
      <w:r w:rsidR="00272A60" w:rsidRPr="005E7297">
        <w:rPr>
          <w:rFonts w:ascii="Garamond" w:hAnsi="Garamond" w:cs="Garamond"/>
          <w:sz w:val="22"/>
          <w:szCs w:val="24"/>
          <w:lang w:eastAsia="en-US"/>
        </w:rPr>
        <w:t xml:space="preserve">e Władysławowie </w:t>
      </w:r>
      <w:r w:rsidR="00BC1C86" w:rsidRPr="005E7297">
        <w:rPr>
          <w:rFonts w:ascii="Garamond" w:hAnsi="Garamond" w:cs="Garamond"/>
          <w:sz w:val="22"/>
          <w:szCs w:val="24"/>
          <w:lang w:eastAsia="en-US"/>
        </w:rPr>
        <w:t xml:space="preserve">miał miejsce spadek </w:t>
      </w:r>
      <w:r w:rsidR="00272A60" w:rsidRPr="005E7297">
        <w:rPr>
          <w:rFonts w:ascii="Garamond" w:hAnsi="Garamond" w:cs="Garamond"/>
          <w:sz w:val="22"/>
          <w:szCs w:val="24"/>
          <w:lang w:eastAsia="en-US"/>
        </w:rPr>
        <w:t>aktywności gospodarczej (o 11,2%).</w:t>
      </w:r>
      <w:r w:rsidR="00602CE3" w:rsidRPr="005E7297">
        <w:rPr>
          <w:rFonts w:ascii="Garamond" w:hAnsi="Garamond" w:cs="Garamond"/>
          <w:sz w:val="22"/>
          <w:szCs w:val="24"/>
          <w:lang w:eastAsia="en-US"/>
        </w:rPr>
        <w:t xml:space="preserve"> </w:t>
      </w:r>
      <w:r w:rsidR="00B16642" w:rsidRPr="005E7297">
        <w:rPr>
          <w:rFonts w:ascii="Garamond" w:hAnsi="Garamond" w:cs="Garamond"/>
          <w:sz w:val="22"/>
          <w:szCs w:val="24"/>
          <w:lang w:eastAsia="en-US"/>
        </w:rPr>
        <w:t xml:space="preserve">Powyższa sytuacja ma związek ze </w:t>
      </w:r>
      <w:r w:rsidR="00B16642" w:rsidRPr="005E7297">
        <w:rPr>
          <w:rFonts w:ascii="Garamond" w:hAnsi="Garamond" w:cs="Garamond"/>
          <w:b/>
          <w:color w:val="7030A0"/>
          <w:sz w:val="22"/>
          <w:szCs w:val="24"/>
          <w:lang w:eastAsia="en-US"/>
        </w:rPr>
        <w:t>spadkiem liczby nowozakładanych firm</w:t>
      </w:r>
      <w:r w:rsidR="00B16642" w:rsidRPr="005E7297">
        <w:rPr>
          <w:rFonts w:ascii="Garamond" w:hAnsi="Garamond" w:cs="Garamond"/>
          <w:sz w:val="22"/>
          <w:szCs w:val="24"/>
          <w:lang w:eastAsia="en-US"/>
        </w:rPr>
        <w:t xml:space="preserve"> </w:t>
      </w:r>
      <w:r w:rsidR="005D036C" w:rsidRPr="005E7297">
        <w:rPr>
          <w:rFonts w:ascii="Garamond" w:hAnsi="Garamond" w:cs="Garamond"/>
          <w:sz w:val="22"/>
          <w:szCs w:val="24"/>
          <w:lang w:eastAsia="en-US"/>
        </w:rPr>
        <w:t>(w</w:t>
      </w:r>
      <w:r w:rsidR="00B16642" w:rsidRPr="005E7297">
        <w:rPr>
          <w:rFonts w:ascii="Garamond" w:hAnsi="Garamond" w:cs="Garamond"/>
          <w:sz w:val="22"/>
          <w:szCs w:val="24"/>
          <w:lang w:eastAsia="en-US"/>
        </w:rPr>
        <w:t xml:space="preserve"> latach 2009-2013 o prawie 18%</w:t>
      </w:r>
      <w:r w:rsidR="005D036C" w:rsidRPr="005E7297">
        <w:rPr>
          <w:rFonts w:ascii="Garamond" w:hAnsi="Garamond" w:cs="Garamond"/>
          <w:sz w:val="22"/>
          <w:szCs w:val="24"/>
          <w:lang w:eastAsia="en-US"/>
        </w:rPr>
        <w:t>)</w:t>
      </w:r>
      <w:r w:rsidR="00B16642" w:rsidRPr="005E7297">
        <w:rPr>
          <w:rFonts w:ascii="Garamond" w:hAnsi="Garamond" w:cs="Garamond"/>
          <w:sz w:val="22"/>
          <w:szCs w:val="24"/>
          <w:lang w:eastAsia="en-US"/>
        </w:rPr>
        <w:t>.</w:t>
      </w:r>
      <w:r w:rsidR="005D036C" w:rsidRPr="005E7297">
        <w:rPr>
          <w:rFonts w:ascii="Garamond" w:hAnsi="Garamond" w:cs="Garamond"/>
          <w:sz w:val="22"/>
          <w:szCs w:val="24"/>
          <w:lang w:eastAsia="en-US"/>
        </w:rPr>
        <w:t xml:space="preserve"> Jest to trend odmienny do sytuacja w regionie i Polsce, gdzie odnotowano niewielkie wzrosty o 3,1% i 4,5%.</w:t>
      </w:r>
      <w:r w:rsidR="00697E6F" w:rsidRPr="00443FFF">
        <w:rPr>
          <w:rFonts w:ascii="Garamond" w:hAnsi="Garamond" w:cs="Garamond"/>
          <w:sz w:val="22"/>
          <w:szCs w:val="24"/>
          <w:lang w:eastAsia="en-US"/>
        </w:rPr>
        <w:t xml:space="preserve"> </w:t>
      </w:r>
    </w:p>
    <w:p w:rsidR="00862547" w:rsidRDefault="00862547" w:rsidP="00862547">
      <w:pPr>
        <w:spacing w:after="0"/>
        <w:jc w:val="both"/>
        <w:rPr>
          <w:rFonts w:ascii="Garamond" w:hAnsi="Garamond"/>
          <w:sz w:val="22"/>
          <w:szCs w:val="22"/>
        </w:rPr>
      </w:pPr>
      <w:r>
        <w:rPr>
          <w:noProof/>
        </w:rPr>
        <w:drawing>
          <wp:inline distT="0" distB="0" distL="0" distR="0">
            <wp:extent cx="4842345" cy="2464905"/>
            <wp:effectExtent l="0" t="0" r="15875" b="12065"/>
            <wp:docPr id="1" name="Wykres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862547" w:rsidRDefault="00862547" w:rsidP="00862547">
      <w:pPr>
        <w:spacing w:after="0"/>
        <w:jc w:val="both"/>
        <w:rPr>
          <w:rFonts w:ascii="Garamond" w:hAnsi="Garamond"/>
        </w:rPr>
      </w:pPr>
      <w:r w:rsidRPr="00862547">
        <w:rPr>
          <w:rFonts w:ascii="Garamond" w:hAnsi="Garamond"/>
        </w:rPr>
        <w:t>(m) – gmina miejska</w:t>
      </w:r>
    </w:p>
    <w:p w:rsidR="00D354FF" w:rsidRPr="00862547" w:rsidRDefault="00862547" w:rsidP="00862547">
      <w:pPr>
        <w:spacing w:after="0"/>
        <w:jc w:val="both"/>
        <w:rPr>
          <w:rFonts w:ascii="Garamond" w:hAnsi="Garamond"/>
        </w:rPr>
      </w:pPr>
      <w:r w:rsidRPr="00862547">
        <w:rPr>
          <w:rFonts w:ascii="Garamond" w:hAnsi="Garamond"/>
        </w:rPr>
        <w:t>Ryc. 1. Podmioty wpisane do rejestru REGON na 10 tys. ludności w 2013 r.</w:t>
      </w:r>
    </w:p>
    <w:p w:rsidR="00862547" w:rsidRPr="00862547" w:rsidRDefault="00862547" w:rsidP="00862547">
      <w:pPr>
        <w:spacing w:after="0"/>
        <w:jc w:val="both"/>
        <w:rPr>
          <w:rFonts w:ascii="Garamond" w:hAnsi="Garamond"/>
          <w:i/>
        </w:rPr>
      </w:pPr>
      <w:r w:rsidRPr="00862547">
        <w:rPr>
          <w:rFonts w:ascii="Garamond" w:hAnsi="Garamond"/>
          <w:i/>
        </w:rPr>
        <w:t xml:space="preserve">Źródło: Opracowanie własne na podstawie danych </w:t>
      </w:r>
      <w:proofErr w:type="spellStart"/>
      <w:r w:rsidRPr="00862547">
        <w:rPr>
          <w:rFonts w:ascii="Garamond" w:hAnsi="Garamond"/>
          <w:i/>
        </w:rPr>
        <w:t>GUS-BDL</w:t>
      </w:r>
      <w:proofErr w:type="spellEnd"/>
    </w:p>
    <w:p w:rsidR="00862547" w:rsidRDefault="00862547" w:rsidP="00862547">
      <w:pPr>
        <w:jc w:val="both"/>
        <w:rPr>
          <w:rFonts w:ascii="Garamond" w:hAnsi="Garamond"/>
          <w:szCs w:val="22"/>
        </w:rPr>
      </w:pPr>
    </w:p>
    <w:p w:rsidR="00AC356D" w:rsidRDefault="00BA1397" w:rsidP="00BA1397">
      <w:pPr>
        <w:jc w:val="both"/>
        <w:rPr>
          <w:rFonts w:ascii="Garamond" w:hAnsi="Garamond" w:cs="Garamond"/>
          <w:sz w:val="22"/>
          <w:szCs w:val="22"/>
          <w:lang w:eastAsia="en-US"/>
        </w:rPr>
      </w:pPr>
      <w:r w:rsidRPr="00AA5213">
        <w:rPr>
          <w:rFonts w:ascii="Garamond" w:hAnsi="Garamond" w:cs="Garamond"/>
          <w:sz w:val="22"/>
          <w:szCs w:val="22"/>
          <w:lang w:eastAsia="en-US"/>
        </w:rPr>
        <w:t xml:space="preserve">W 2013 r., 5,8% wszystkich osób prowadzących działalność gospodarczą w regionie, stanowili mieszkańcy gmin </w:t>
      </w:r>
      <w:r w:rsidR="00902E6C" w:rsidRPr="00AA5213">
        <w:rPr>
          <w:rFonts w:ascii="Garamond" w:hAnsi="Garamond" w:cs="Garamond"/>
          <w:sz w:val="22"/>
          <w:szCs w:val="22"/>
          <w:lang w:eastAsia="en-US"/>
        </w:rPr>
        <w:t xml:space="preserve">tworzących </w:t>
      </w:r>
      <w:r w:rsidRPr="00AA5213">
        <w:rPr>
          <w:rFonts w:ascii="Garamond" w:hAnsi="Garamond" w:cs="Garamond"/>
          <w:sz w:val="22"/>
          <w:szCs w:val="22"/>
          <w:lang w:eastAsia="en-US"/>
        </w:rPr>
        <w:t xml:space="preserve">PLGR. W strukturze branżowej tych osób </w:t>
      </w:r>
      <w:r w:rsidRPr="00AA5213">
        <w:rPr>
          <w:rFonts w:ascii="Garamond" w:hAnsi="Garamond" w:cs="Garamond"/>
          <w:b/>
          <w:color w:val="7030A0"/>
          <w:sz w:val="22"/>
          <w:szCs w:val="22"/>
          <w:lang w:eastAsia="en-US"/>
        </w:rPr>
        <w:t>dominowała działalność związana z zakwaterowaniem i usługami gastronomicznymi</w:t>
      </w:r>
      <w:r w:rsidRPr="00AA5213">
        <w:rPr>
          <w:rFonts w:ascii="Garamond" w:hAnsi="Garamond" w:cs="Garamond"/>
          <w:sz w:val="22"/>
          <w:szCs w:val="22"/>
          <w:lang w:eastAsia="en-US"/>
        </w:rPr>
        <w:t xml:space="preserve"> (31,1% wszystkich aktywności). </w:t>
      </w:r>
      <w:r w:rsidRPr="00AA5213">
        <w:rPr>
          <w:rFonts w:ascii="Garamond" w:hAnsi="Garamond"/>
          <w:sz w:val="22"/>
          <w:szCs w:val="22"/>
        </w:rPr>
        <w:t xml:space="preserve">W samym </w:t>
      </w:r>
      <w:r w:rsidRPr="00AA5213">
        <w:rPr>
          <w:rFonts w:ascii="Garamond" w:hAnsi="Garamond"/>
          <w:sz w:val="22"/>
          <w:szCs w:val="22"/>
        </w:rPr>
        <w:lastRenderedPageBreak/>
        <w:t>Władysławowie, osoby prowadzących tę działalność gospodarczą stanowi</w:t>
      </w:r>
      <w:r w:rsidR="00A36481" w:rsidRPr="00AA5213">
        <w:rPr>
          <w:rFonts w:ascii="Garamond" w:hAnsi="Garamond"/>
          <w:sz w:val="22"/>
          <w:szCs w:val="22"/>
        </w:rPr>
        <w:t>ły</w:t>
      </w:r>
      <w:r w:rsidRPr="00AA5213">
        <w:rPr>
          <w:rFonts w:ascii="Garamond" w:hAnsi="Garamond"/>
          <w:sz w:val="22"/>
          <w:szCs w:val="22"/>
        </w:rPr>
        <w:t xml:space="preserve"> 16,3% wszystkich w regionie.</w:t>
      </w:r>
      <w:r w:rsidRPr="00AA5213">
        <w:rPr>
          <w:rFonts w:ascii="Garamond" w:hAnsi="Garamond" w:cs="Garamond"/>
          <w:sz w:val="22"/>
          <w:szCs w:val="22"/>
          <w:lang w:eastAsia="en-US"/>
        </w:rPr>
        <w:t xml:space="preserve"> Na drugim miejscu, ale już z mniejszym udziałem </w:t>
      </w:r>
      <w:r w:rsidR="00697E6F" w:rsidRPr="00AA5213">
        <w:rPr>
          <w:rFonts w:ascii="Garamond" w:hAnsi="Garamond" w:cs="Garamond"/>
          <w:sz w:val="22"/>
          <w:szCs w:val="22"/>
          <w:lang w:eastAsia="en-US"/>
        </w:rPr>
        <w:t>był</w:t>
      </w:r>
      <w:r w:rsidRPr="00AA5213">
        <w:rPr>
          <w:rFonts w:ascii="Garamond" w:hAnsi="Garamond" w:cs="Garamond"/>
          <w:sz w:val="22"/>
          <w:szCs w:val="22"/>
          <w:lang w:eastAsia="en-US"/>
        </w:rPr>
        <w:t xml:space="preserve"> handel hurtowy i detaliczny; </w:t>
      </w:r>
      <w:r w:rsidR="00697E6F" w:rsidRPr="00AA5213">
        <w:rPr>
          <w:rFonts w:ascii="Garamond" w:hAnsi="Garamond" w:cs="Garamond"/>
          <w:sz w:val="22"/>
          <w:szCs w:val="22"/>
          <w:lang w:eastAsia="en-US"/>
        </w:rPr>
        <w:t xml:space="preserve">naprawa pojazdów samochodowych </w:t>
      </w:r>
      <w:r w:rsidRPr="00AA5213">
        <w:rPr>
          <w:rFonts w:ascii="Garamond" w:hAnsi="Garamond" w:cs="Garamond"/>
          <w:sz w:val="22"/>
          <w:szCs w:val="22"/>
          <w:lang w:eastAsia="en-US"/>
        </w:rPr>
        <w:t>(18,5%). Kolejno wyróżnia</w:t>
      </w:r>
      <w:r w:rsidR="00697E6F" w:rsidRPr="00AA5213">
        <w:rPr>
          <w:rFonts w:ascii="Garamond" w:hAnsi="Garamond" w:cs="Garamond"/>
          <w:sz w:val="22"/>
          <w:szCs w:val="22"/>
          <w:lang w:eastAsia="en-US"/>
        </w:rPr>
        <w:t>ły</w:t>
      </w:r>
      <w:r w:rsidRPr="00AA5213">
        <w:rPr>
          <w:rFonts w:ascii="Garamond" w:hAnsi="Garamond" w:cs="Garamond"/>
          <w:sz w:val="22"/>
          <w:szCs w:val="22"/>
          <w:lang w:eastAsia="en-US"/>
        </w:rPr>
        <w:t xml:space="preserve"> się </w:t>
      </w:r>
      <w:r w:rsidR="009E7889" w:rsidRPr="00AA5213">
        <w:rPr>
          <w:rFonts w:ascii="Garamond" w:hAnsi="Garamond" w:cs="Garamond"/>
          <w:sz w:val="22"/>
          <w:szCs w:val="22"/>
          <w:lang w:eastAsia="en-US"/>
        </w:rPr>
        <w:t xml:space="preserve">również </w:t>
      </w:r>
      <w:r w:rsidRPr="00AA5213">
        <w:rPr>
          <w:rFonts w:ascii="Garamond" w:hAnsi="Garamond" w:cs="Garamond"/>
          <w:sz w:val="22"/>
          <w:szCs w:val="22"/>
          <w:lang w:eastAsia="en-US"/>
        </w:rPr>
        <w:t>budownictwo (13,6%), przetwórstwo przemysłowe (9,4%) oraz transport i gospodarka magazynowa (5,6%).</w:t>
      </w:r>
    </w:p>
    <w:p w:rsidR="003F512A" w:rsidRDefault="003F512A" w:rsidP="00BA1397">
      <w:pPr>
        <w:jc w:val="both"/>
        <w:rPr>
          <w:rFonts w:ascii="Garamond" w:hAnsi="Garamond" w:cs="Garamond"/>
          <w:sz w:val="22"/>
          <w:szCs w:val="22"/>
          <w:lang w:eastAsia="en-US"/>
        </w:rPr>
      </w:pPr>
    </w:p>
    <w:p w:rsidR="00472369" w:rsidRDefault="00472369" w:rsidP="00BA1397">
      <w:pPr>
        <w:jc w:val="both"/>
        <w:rPr>
          <w:rFonts w:ascii="Garamond" w:hAnsi="Garamond" w:cs="Garamond"/>
          <w:sz w:val="22"/>
          <w:szCs w:val="22"/>
          <w:lang w:eastAsia="en-US"/>
        </w:rPr>
      </w:pPr>
    </w:p>
    <w:p w:rsidR="00D354FF" w:rsidRPr="006335E2" w:rsidRDefault="00D354FF" w:rsidP="00E07C89">
      <w:pPr>
        <w:shd w:val="clear" w:color="auto" w:fill="B2A1C7" w:themeFill="accent4" w:themeFillTint="99"/>
        <w:spacing w:after="0" w:line="240" w:lineRule="auto"/>
        <w:jc w:val="center"/>
        <w:rPr>
          <w:rFonts w:ascii="Garamond" w:hAnsi="Garamond"/>
          <w:b/>
          <w:sz w:val="22"/>
          <w:szCs w:val="22"/>
        </w:rPr>
      </w:pPr>
      <w:r>
        <w:rPr>
          <w:rFonts w:ascii="Garamond" w:hAnsi="Garamond"/>
          <w:b/>
          <w:sz w:val="22"/>
          <w:szCs w:val="22"/>
        </w:rPr>
        <w:t>INWESTYCJ</w:t>
      </w:r>
      <w:r w:rsidR="00472369">
        <w:rPr>
          <w:rFonts w:ascii="Garamond" w:hAnsi="Garamond"/>
          <w:b/>
          <w:sz w:val="22"/>
          <w:szCs w:val="22"/>
        </w:rPr>
        <w:t>E</w:t>
      </w:r>
    </w:p>
    <w:p w:rsidR="00AC356D" w:rsidRPr="00AA5213" w:rsidRDefault="00AC356D" w:rsidP="001008BD">
      <w:pPr>
        <w:spacing w:before="240"/>
        <w:jc w:val="both"/>
        <w:rPr>
          <w:rFonts w:ascii="Garamond" w:hAnsi="Garamond"/>
          <w:sz w:val="22"/>
          <w:szCs w:val="22"/>
        </w:rPr>
      </w:pPr>
      <w:r w:rsidRPr="00AA5213">
        <w:rPr>
          <w:rFonts w:ascii="Garamond" w:hAnsi="Garamond"/>
          <w:b/>
          <w:color w:val="7030A0"/>
          <w:sz w:val="22"/>
          <w:szCs w:val="22"/>
        </w:rPr>
        <w:t>Nakłady inwestycyjne</w:t>
      </w:r>
      <w:r w:rsidRPr="00AA5213">
        <w:rPr>
          <w:rFonts w:ascii="Garamond" w:hAnsi="Garamond"/>
          <w:color w:val="7030A0"/>
          <w:sz w:val="22"/>
          <w:szCs w:val="22"/>
        </w:rPr>
        <w:t xml:space="preserve"> </w:t>
      </w:r>
      <w:r w:rsidRPr="00AA5213">
        <w:rPr>
          <w:rFonts w:ascii="Garamond" w:hAnsi="Garamond"/>
          <w:sz w:val="22"/>
          <w:szCs w:val="22"/>
        </w:rPr>
        <w:t xml:space="preserve">w powiatach PLGR </w:t>
      </w:r>
      <w:r w:rsidRPr="00AA5213">
        <w:rPr>
          <w:rFonts w:ascii="Garamond" w:hAnsi="Garamond"/>
          <w:b/>
          <w:color w:val="7030A0"/>
          <w:sz w:val="22"/>
          <w:szCs w:val="22"/>
        </w:rPr>
        <w:t>są znacznie niższe niż średnio w regionie i kraju</w:t>
      </w:r>
      <w:r w:rsidRPr="00AA5213">
        <w:rPr>
          <w:rFonts w:ascii="Garamond" w:hAnsi="Garamond"/>
          <w:sz w:val="22"/>
          <w:szCs w:val="22"/>
        </w:rPr>
        <w:t xml:space="preserve">. W 2012 r. wynosiły 591,0 mln zł, co dawało 2,1 tys. zł/1 mieszkańca. </w:t>
      </w:r>
      <w:r w:rsidR="00902E6C" w:rsidRPr="00AA5213">
        <w:rPr>
          <w:rFonts w:ascii="Garamond" w:hAnsi="Garamond"/>
          <w:sz w:val="22"/>
          <w:szCs w:val="22"/>
        </w:rPr>
        <w:t xml:space="preserve">Tymczasem </w:t>
      </w:r>
      <w:r w:rsidR="00490F50" w:rsidRPr="00AA5213">
        <w:rPr>
          <w:rFonts w:ascii="Garamond" w:hAnsi="Garamond"/>
          <w:sz w:val="22"/>
          <w:szCs w:val="22"/>
        </w:rPr>
        <w:t xml:space="preserve">w województwie </w:t>
      </w:r>
      <w:r w:rsidR="00AC1185" w:rsidRPr="00AA5213">
        <w:rPr>
          <w:rFonts w:ascii="Garamond" w:hAnsi="Garamond"/>
          <w:sz w:val="22"/>
          <w:szCs w:val="22"/>
        </w:rPr>
        <w:t>i w</w:t>
      </w:r>
      <w:r w:rsidR="00490F50" w:rsidRPr="00AA5213">
        <w:rPr>
          <w:rFonts w:ascii="Garamond" w:hAnsi="Garamond"/>
          <w:sz w:val="22"/>
          <w:szCs w:val="22"/>
        </w:rPr>
        <w:t xml:space="preserve"> Polsce wartoś</w:t>
      </w:r>
      <w:r w:rsidR="00A36481" w:rsidRPr="00AA5213">
        <w:rPr>
          <w:rFonts w:ascii="Garamond" w:hAnsi="Garamond"/>
          <w:sz w:val="22"/>
          <w:szCs w:val="22"/>
        </w:rPr>
        <w:t>ci te oscylowała w granicach</w:t>
      </w:r>
      <w:r w:rsidR="00490F50" w:rsidRPr="00AA5213">
        <w:rPr>
          <w:rFonts w:ascii="Garamond" w:hAnsi="Garamond"/>
          <w:sz w:val="22"/>
          <w:szCs w:val="22"/>
        </w:rPr>
        <w:t xml:space="preserve"> 3,3 tys. zł.</w:t>
      </w:r>
      <w:r w:rsidR="00A02ED5" w:rsidRPr="00AA5213">
        <w:rPr>
          <w:rFonts w:ascii="Garamond" w:hAnsi="Garamond"/>
          <w:sz w:val="22"/>
          <w:szCs w:val="22"/>
        </w:rPr>
        <w:t xml:space="preserve"> Pod względem sektorów gospodarki, na omawianym obszarze, nakłady na przemysł i budownictwo stanowiły 12,1% wszystkich w regionie. Z kolei rolnictwo, leśnictwo, łowiectwo i rybactwo skupiło 7,7% regionalnych nakładów.</w:t>
      </w:r>
    </w:p>
    <w:p w:rsidR="00472369" w:rsidRDefault="003946C3" w:rsidP="0003087D">
      <w:pPr>
        <w:jc w:val="both"/>
        <w:rPr>
          <w:rFonts w:ascii="Garamond" w:hAnsi="Garamond"/>
          <w:sz w:val="22"/>
          <w:szCs w:val="22"/>
        </w:rPr>
      </w:pPr>
      <w:r w:rsidRPr="00AA5213">
        <w:rPr>
          <w:rFonts w:ascii="Garamond" w:hAnsi="Garamond"/>
          <w:sz w:val="22"/>
          <w:szCs w:val="22"/>
        </w:rPr>
        <w:t>Podobna sytuacja m</w:t>
      </w:r>
      <w:r w:rsidR="00A36481" w:rsidRPr="00AA5213">
        <w:rPr>
          <w:rFonts w:ascii="Garamond" w:hAnsi="Garamond"/>
          <w:sz w:val="22"/>
          <w:szCs w:val="22"/>
        </w:rPr>
        <w:t>i</w:t>
      </w:r>
      <w:r w:rsidRPr="00AA5213">
        <w:rPr>
          <w:rFonts w:ascii="Garamond" w:hAnsi="Garamond"/>
          <w:sz w:val="22"/>
          <w:szCs w:val="22"/>
        </w:rPr>
        <w:t>a</w:t>
      </w:r>
      <w:r w:rsidR="00A36481" w:rsidRPr="00AA5213">
        <w:rPr>
          <w:rFonts w:ascii="Garamond" w:hAnsi="Garamond"/>
          <w:sz w:val="22"/>
          <w:szCs w:val="22"/>
        </w:rPr>
        <w:t>ła</w:t>
      </w:r>
      <w:r w:rsidRPr="00AA5213">
        <w:rPr>
          <w:rFonts w:ascii="Garamond" w:hAnsi="Garamond"/>
          <w:sz w:val="22"/>
          <w:szCs w:val="22"/>
        </w:rPr>
        <w:t xml:space="preserve"> miejsce w przypadku w</w:t>
      </w:r>
      <w:r w:rsidR="00242DD8" w:rsidRPr="00AA5213">
        <w:rPr>
          <w:rFonts w:ascii="Garamond" w:hAnsi="Garamond"/>
          <w:sz w:val="22"/>
          <w:szCs w:val="22"/>
        </w:rPr>
        <w:t>artoś</w:t>
      </w:r>
      <w:r w:rsidRPr="00AA5213">
        <w:rPr>
          <w:rFonts w:ascii="Garamond" w:hAnsi="Garamond"/>
          <w:sz w:val="22"/>
          <w:szCs w:val="22"/>
        </w:rPr>
        <w:t>ci</w:t>
      </w:r>
      <w:r w:rsidR="00242DD8" w:rsidRPr="00AA5213">
        <w:rPr>
          <w:rFonts w:ascii="Garamond" w:hAnsi="Garamond"/>
          <w:sz w:val="22"/>
          <w:szCs w:val="22"/>
        </w:rPr>
        <w:t xml:space="preserve"> brutto środków trwałych w przedsiębiorstwach</w:t>
      </w:r>
      <w:r w:rsidRPr="00AA5213">
        <w:rPr>
          <w:rFonts w:ascii="Garamond" w:hAnsi="Garamond"/>
          <w:sz w:val="22"/>
          <w:szCs w:val="22"/>
        </w:rPr>
        <w:t xml:space="preserve">. </w:t>
      </w:r>
      <w:r w:rsidR="002252E3" w:rsidRPr="00AA5213">
        <w:rPr>
          <w:rFonts w:ascii="Garamond" w:hAnsi="Garamond"/>
          <w:sz w:val="22"/>
          <w:szCs w:val="22"/>
        </w:rPr>
        <w:t xml:space="preserve">W przeliczeniu na mieszkańca jest ona zdecydowanie niższa niż średnio w kraju i regionie. W 2012 r. wartości te wynosiły odpowiednio 40,0 tys., 38,3 tys. a w powiatach </w:t>
      </w:r>
      <w:r w:rsidR="00902E6C" w:rsidRPr="00AA5213">
        <w:rPr>
          <w:rFonts w:ascii="Garamond" w:hAnsi="Garamond"/>
          <w:sz w:val="22"/>
          <w:szCs w:val="22"/>
        </w:rPr>
        <w:t xml:space="preserve">tworzących obszar </w:t>
      </w:r>
      <w:r w:rsidR="002252E3" w:rsidRPr="00AA5213">
        <w:rPr>
          <w:rFonts w:ascii="Garamond" w:hAnsi="Garamond"/>
          <w:sz w:val="22"/>
          <w:szCs w:val="22"/>
        </w:rPr>
        <w:t xml:space="preserve">PLGR jedynie 17,3 tys. </w:t>
      </w:r>
      <w:r w:rsidRPr="00AA5213">
        <w:rPr>
          <w:rFonts w:ascii="Garamond" w:hAnsi="Garamond"/>
          <w:sz w:val="22"/>
          <w:szCs w:val="22"/>
        </w:rPr>
        <w:t>Opisana zmienna</w:t>
      </w:r>
      <w:r w:rsidR="00242DD8" w:rsidRPr="00AA5213">
        <w:rPr>
          <w:rFonts w:ascii="Garamond" w:hAnsi="Garamond"/>
          <w:sz w:val="22"/>
          <w:szCs w:val="22"/>
        </w:rPr>
        <w:t xml:space="preserve"> nie jest silnie skorelowana z nakładami inwestycyjnymi. W powiatach </w:t>
      </w:r>
      <w:r w:rsidR="00902E6C" w:rsidRPr="00AA5213">
        <w:rPr>
          <w:rFonts w:ascii="Garamond" w:hAnsi="Garamond"/>
          <w:sz w:val="22"/>
          <w:szCs w:val="22"/>
        </w:rPr>
        <w:t xml:space="preserve">obszaru </w:t>
      </w:r>
      <w:r w:rsidR="00242DD8" w:rsidRPr="00AA5213">
        <w:rPr>
          <w:rFonts w:ascii="Garamond" w:hAnsi="Garamond"/>
          <w:sz w:val="22"/>
          <w:szCs w:val="22"/>
        </w:rPr>
        <w:t>PLGR, przemysł i budownictwo stanowił 7,2% wartości tego sektora</w:t>
      </w:r>
      <w:r w:rsidR="00395C24" w:rsidRPr="00AA5213">
        <w:rPr>
          <w:rFonts w:ascii="Garamond" w:hAnsi="Garamond"/>
          <w:sz w:val="22"/>
          <w:szCs w:val="22"/>
        </w:rPr>
        <w:t xml:space="preserve"> w regionie</w:t>
      </w:r>
      <w:r w:rsidR="00242DD8" w:rsidRPr="00AA5213">
        <w:rPr>
          <w:rFonts w:ascii="Garamond" w:hAnsi="Garamond"/>
          <w:sz w:val="22"/>
          <w:szCs w:val="22"/>
        </w:rPr>
        <w:t>, a rolnictwo, leśnictwo, łowiectwo i rybactwo 4,4%.</w:t>
      </w:r>
    </w:p>
    <w:p w:rsidR="00D354FF" w:rsidRPr="00395C24" w:rsidRDefault="00395C24" w:rsidP="0003087D">
      <w:pPr>
        <w:jc w:val="both"/>
        <w:rPr>
          <w:rFonts w:ascii="Garamond" w:hAnsi="Garamond"/>
          <w:sz w:val="22"/>
          <w:szCs w:val="22"/>
        </w:rPr>
      </w:pPr>
      <w:r>
        <w:rPr>
          <w:rFonts w:ascii="Garamond" w:hAnsi="Garamond"/>
          <w:sz w:val="22"/>
          <w:szCs w:val="22"/>
        </w:rPr>
        <w:t xml:space="preserve"> </w:t>
      </w:r>
    </w:p>
    <w:p w:rsidR="00D354FF" w:rsidRPr="006335E2" w:rsidRDefault="00D354FF" w:rsidP="00E07C89">
      <w:pPr>
        <w:shd w:val="clear" w:color="auto" w:fill="B2A1C7" w:themeFill="accent4" w:themeFillTint="99"/>
        <w:spacing w:after="0" w:line="240" w:lineRule="auto"/>
        <w:jc w:val="center"/>
        <w:rPr>
          <w:rFonts w:ascii="Garamond" w:hAnsi="Garamond"/>
          <w:b/>
          <w:sz w:val="22"/>
          <w:szCs w:val="22"/>
        </w:rPr>
      </w:pPr>
      <w:r>
        <w:rPr>
          <w:rFonts w:ascii="Garamond" w:hAnsi="Garamond"/>
          <w:b/>
          <w:sz w:val="22"/>
          <w:szCs w:val="22"/>
        </w:rPr>
        <w:t>RYNEK PRACY</w:t>
      </w:r>
    </w:p>
    <w:p w:rsidR="002F3C8B" w:rsidRDefault="00BB41FA" w:rsidP="001008BD">
      <w:pPr>
        <w:spacing w:before="240" w:after="0"/>
        <w:jc w:val="both"/>
        <w:rPr>
          <w:rFonts w:ascii="Garamond" w:hAnsi="Garamond"/>
          <w:sz w:val="22"/>
          <w:szCs w:val="22"/>
        </w:rPr>
      </w:pPr>
      <w:r w:rsidRPr="00AA5213">
        <w:rPr>
          <w:rFonts w:ascii="Garamond" w:hAnsi="Garamond"/>
          <w:sz w:val="22"/>
          <w:szCs w:val="22"/>
        </w:rPr>
        <w:t xml:space="preserve">W latach 2007-2013 zarówno w Polsce, województwie jak i na obszarze </w:t>
      </w:r>
      <w:r w:rsidR="00452188" w:rsidRPr="00AA5213">
        <w:rPr>
          <w:rFonts w:ascii="Garamond" w:hAnsi="Garamond"/>
          <w:sz w:val="22"/>
          <w:szCs w:val="22"/>
        </w:rPr>
        <w:t xml:space="preserve">PLGR </w:t>
      </w:r>
      <w:r w:rsidRPr="00AA5213">
        <w:rPr>
          <w:rFonts w:ascii="Garamond" w:hAnsi="Garamond"/>
          <w:b/>
          <w:color w:val="7030A0"/>
          <w:sz w:val="22"/>
          <w:szCs w:val="22"/>
        </w:rPr>
        <w:t>wzrosła liczba pracujących</w:t>
      </w:r>
      <w:r w:rsidRPr="00AA5213">
        <w:rPr>
          <w:rFonts w:ascii="Garamond" w:hAnsi="Garamond"/>
          <w:sz w:val="22"/>
          <w:szCs w:val="22"/>
        </w:rPr>
        <w:t xml:space="preserve">. </w:t>
      </w:r>
      <w:r w:rsidR="00452188" w:rsidRPr="00AA5213">
        <w:rPr>
          <w:rFonts w:ascii="Garamond" w:hAnsi="Garamond"/>
          <w:sz w:val="22"/>
          <w:szCs w:val="22"/>
        </w:rPr>
        <w:t>Były to wartości zbliżone, odpowiednio 3,7%, 5,3% i 4,5%.</w:t>
      </w:r>
      <w:r w:rsidR="00654E50">
        <w:rPr>
          <w:rFonts w:ascii="Garamond" w:hAnsi="Garamond"/>
          <w:sz w:val="22"/>
          <w:szCs w:val="22"/>
        </w:rPr>
        <w:t xml:space="preserve"> </w:t>
      </w:r>
    </w:p>
    <w:p w:rsidR="00DA47E4" w:rsidRDefault="002F3C8B" w:rsidP="00DA47E4">
      <w:pPr>
        <w:spacing w:after="0"/>
        <w:jc w:val="both"/>
        <w:rPr>
          <w:rFonts w:ascii="Garamond" w:hAnsi="Garamond"/>
          <w:sz w:val="22"/>
          <w:szCs w:val="22"/>
        </w:rPr>
      </w:pPr>
      <w:r>
        <w:rPr>
          <w:rFonts w:ascii="Garamond" w:hAnsi="Garamond"/>
          <w:sz w:val="22"/>
          <w:szCs w:val="22"/>
        </w:rPr>
        <w:t>Osoby pracujące na obszarze objętym Strategią stanowiły</w:t>
      </w:r>
      <w:r w:rsidR="00700919">
        <w:rPr>
          <w:rFonts w:ascii="Garamond" w:hAnsi="Garamond"/>
          <w:sz w:val="22"/>
          <w:szCs w:val="22"/>
        </w:rPr>
        <w:t xml:space="preserve"> 3,2% siły roboczej w regionie. </w:t>
      </w:r>
      <w:r w:rsidR="00DB02A5">
        <w:rPr>
          <w:rFonts w:ascii="Garamond" w:hAnsi="Garamond"/>
          <w:sz w:val="22"/>
          <w:szCs w:val="22"/>
        </w:rPr>
        <w:t xml:space="preserve">Największą dynamikę odnotowano w </w:t>
      </w:r>
      <w:r w:rsidR="0023145E">
        <w:rPr>
          <w:rFonts w:ascii="Garamond" w:hAnsi="Garamond"/>
          <w:sz w:val="22"/>
          <w:szCs w:val="22"/>
        </w:rPr>
        <w:t xml:space="preserve">gminie wiejskiej </w:t>
      </w:r>
      <w:r w:rsidR="00DB02A5">
        <w:rPr>
          <w:rFonts w:ascii="Garamond" w:hAnsi="Garamond"/>
          <w:sz w:val="22"/>
          <w:szCs w:val="22"/>
        </w:rPr>
        <w:t xml:space="preserve">Puck </w:t>
      </w:r>
      <w:r w:rsidR="0023145E">
        <w:rPr>
          <w:rFonts w:ascii="Garamond" w:hAnsi="Garamond"/>
          <w:sz w:val="22"/>
          <w:szCs w:val="22"/>
        </w:rPr>
        <w:t>(</w:t>
      </w:r>
      <w:r w:rsidR="00DB02A5">
        <w:rPr>
          <w:rFonts w:ascii="Garamond" w:hAnsi="Garamond"/>
          <w:sz w:val="22"/>
          <w:szCs w:val="22"/>
        </w:rPr>
        <w:t>12,8%</w:t>
      </w:r>
      <w:r w:rsidR="0023145E">
        <w:rPr>
          <w:rFonts w:ascii="Garamond" w:hAnsi="Garamond"/>
          <w:sz w:val="22"/>
          <w:szCs w:val="22"/>
        </w:rPr>
        <w:t>)</w:t>
      </w:r>
      <w:r w:rsidR="00DB02A5">
        <w:rPr>
          <w:rFonts w:ascii="Garamond" w:hAnsi="Garamond"/>
          <w:sz w:val="22"/>
          <w:szCs w:val="22"/>
        </w:rPr>
        <w:t>. Natomiast w trzech gminach liczba pracujących spadła.</w:t>
      </w:r>
      <w:r w:rsidR="00800F87">
        <w:rPr>
          <w:rFonts w:ascii="Garamond" w:hAnsi="Garamond"/>
          <w:sz w:val="22"/>
          <w:szCs w:val="22"/>
        </w:rPr>
        <w:t xml:space="preserve"> </w:t>
      </w:r>
      <w:r w:rsidR="000A09C7">
        <w:rPr>
          <w:rFonts w:ascii="Garamond" w:hAnsi="Garamond"/>
          <w:sz w:val="22"/>
          <w:szCs w:val="22"/>
        </w:rPr>
        <w:t>W rezultacie, w 2013 r. na obszarze objętym Strategią pracowało 16,0 tys. osób.</w:t>
      </w:r>
    </w:p>
    <w:p w:rsidR="00DA47E4" w:rsidRDefault="00800F87" w:rsidP="00DA47E4">
      <w:pPr>
        <w:spacing w:after="0"/>
        <w:jc w:val="both"/>
        <w:rPr>
          <w:rFonts w:ascii="Garamond" w:hAnsi="Garamond"/>
          <w:sz w:val="22"/>
          <w:szCs w:val="22"/>
        </w:rPr>
      </w:pPr>
      <w:r>
        <w:rPr>
          <w:rFonts w:ascii="Garamond" w:hAnsi="Garamond"/>
          <w:sz w:val="22"/>
          <w:szCs w:val="22"/>
        </w:rPr>
        <w:t>Na uwagę zasługuje udział kobiet w ludności pracujące. W prawdzie na obszarze PLGR odsetek jest mniejszy niż średnio w regionie i kraju. Są jednak gmi</w:t>
      </w:r>
      <w:r w:rsidR="00DA47E4">
        <w:rPr>
          <w:rFonts w:ascii="Garamond" w:hAnsi="Garamond"/>
          <w:sz w:val="22"/>
          <w:szCs w:val="22"/>
        </w:rPr>
        <w:t>ny gdzie przekracza on 60% tj. Hel</w:t>
      </w:r>
      <w:r>
        <w:rPr>
          <w:rFonts w:ascii="Garamond" w:hAnsi="Garamond"/>
          <w:sz w:val="22"/>
          <w:szCs w:val="22"/>
        </w:rPr>
        <w:t xml:space="preserve"> i Jastarni</w:t>
      </w:r>
      <w:r w:rsidR="00DA47E4">
        <w:rPr>
          <w:rFonts w:ascii="Garamond" w:hAnsi="Garamond"/>
          <w:sz w:val="22"/>
          <w:szCs w:val="22"/>
        </w:rPr>
        <w:t>a</w:t>
      </w:r>
      <w:r>
        <w:rPr>
          <w:rFonts w:ascii="Garamond" w:hAnsi="Garamond"/>
          <w:sz w:val="22"/>
          <w:szCs w:val="22"/>
        </w:rPr>
        <w:t>.</w:t>
      </w:r>
      <w:r w:rsidR="00DA47E4">
        <w:rPr>
          <w:rFonts w:ascii="Garamond" w:hAnsi="Garamond"/>
          <w:sz w:val="22"/>
          <w:szCs w:val="22"/>
        </w:rPr>
        <w:t xml:space="preserve"> </w:t>
      </w:r>
    </w:p>
    <w:p w:rsidR="00DA47E4" w:rsidRDefault="00DA47E4" w:rsidP="00DA47E4">
      <w:pPr>
        <w:spacing w:after="0"/>
        <w:jc w:val="both"/>
        <w:rPr>
          <w:rFonts w:ascii="Garamond" w:hAnsi="Garamond"/>
          <w:sz w:val="22"/>
          <w:szCs w:val="22"/>
        </w:rPr>
      </w:pPr>
      <w:r w:rsidRPr="00AA5213">
        <w:rPr>
          <w:rFonts w:ascii="Garamond" w:hAnsi="Garamond"/>
          <w:sz w:val="22"/>
          <w:szCs w:val="22"/>
        </w:rPr>
        <w:t>Mimo wzrostu liczby pracujących</w:t>
      </w:r>
      <w:r w:rsidR="002F3C8B" w:rsidRPr="00AA5213">
        <w:rPr>
          <w:rFonts w:ascii="Garamond" w:hAnsi="Garamond"/>
          <w:sz w:val="22"/>
          <w:szCs w:val="22"/>
        </w:rPr>
        <w:t>,</w:t>
      </w:r>
      <w:r w:rsidRPr="00AA5213">
        <w:rPr>
          <w:rFonts w:ascii="Garamond" w:hAnsi="Garamond"/>
          <w:sz w:val="22"/>
          <w:szCs w:val="22"/>
        </w:rPr>
        <w:t xml:space="preserve"> gminy </w:t>
      </w:r>
      <w:r w:rsidR="00902E6C" w:rsidRPr="00AA5213">
        <w:rPr>
          <w:rFonts w:ascii="Garamond" w:hAnsi="Garamond"/>
          <w:sz w:val="22"/>
          <w:szCs w:val="22"/>
        </w:rPr>
        <w:t xml:space="preserve">tworzące obszar </w:t>
      </w:r>
      <w:r w:rsidRPr="00AA5213">
        <w:rPr>
          <w:rFonts w:ascii="Garamond" w:hAnsi="Garamond"/>
          <w:sz w:val="22"/>
          <w:szCs w:val="22"/>
        </w:rPr>
        <w:t xml:space="preserve">PLGR charakteryzują się </w:t>
      </w:r>
      <w:r w:rsidRPr="00AA5213">
        <w:rPr>
          <w:rFonts w:ascii="Garamond" w:hAnsi="Garamond"/>
          <w:b/>
          <w:color w:val="7030A0"/>
          <w:sz w:val="22"/>
          <w:szCs w:val="22"/>
        </w:rPr>
        <w:t>słabą aktywnością zawodową</w:t>
      </w:r>
      <w:r w:rsidRPr="00AA5213">
        <w:rPr>
          <w:rFonts w:ascii="Garamond" w:hAnsi="Garamond"/>
          <w:sz w:val="22"/>
          <w:szCs w:val="22"/>
        </w:rPr>
        <w:t>. Ukazuje to wskaźnik odnoszący pracujących do osób w wieku produkcyjnym. W 2013 r.</w:t>
      </w:r>
      <w:r>
        <w:rPr>
          <w:rFonts w:ascii="Garamond" w:hAnsi="Garamond"/>
          <w:sz w:val="22"/>
          <w:szCs w:val="22"/>
        </w:rPr>
        <w:t xml:space="preserve"> wyniósł on </w:t>
      </w:r>
      <w:r w:rsidR="001B2DBD">
        <w:rPr>
          <w:rFonts w:ascii="Garamond" w:hAnsi="Garamond"/>
          <w:sz w:val="22"/>
          <w:szCs w:val="22"/>
        </w:rPr>
        <w:t>22,7</w:t>
      </w:r>
      <w:r>
        <w:rPr>
          <w:rFonts w:ascii="Garamond" w:hAnsi="Garamond"/>
          <w:sz w:val="22"/>
          <w:szCs w:val="22"/>
        </w:rPr>
        <w:t>%, przy średniej dla kraju i województwa wyższej o ponad 10 p proc.</w:t>
      </w:r>
    </w:p>
    <w:p w:rsidR="00452188" w:rsidRDefault="006B5060" w:rsidP="007A697E">
      <w:pPr>
        <w:spacing w:before="240" w:after="0"/>
        <w:jc w:val="both"/>
        <w:rPr>
          <w:rFonts w:ascii="Garamond" w:hAnsi="Garamond"/>
          <w:sz w:val="22"/>
          <w:szCs w:val="22"/>
        </w:rPr>
      </w:pPr>
      <w:r w:rsidRPr="00737C47">
        <w:rPr>
          <w:rFonts w:ascii="Garamond" w:hAnsi="Garamond"/>
          <w:szCs w:val="22"/>
        </w:rPr>
        <w:t xml:space="preserve">Tab. </w:t>
      </w:r>
      <w:r>
        <w:rPr>
          <w:rFonts w:ascii="Garamond" w:hAnsi="Garamond"/>
          <w:szCs w:val="22"/>
        </w:rPr>
        <w:t>2</w:t>
      </w:r>
      <w:r w:rsidRPr="00737C47">
        <w:rPr>
          <w:rFonts w:ascii="Garamond" w:hAnsi="Garamond"/>
          <w:szCs w:val="22"/>
        </w:rPr>
        <w:t xml:space="preserve">. Charakterystyka </w:t>
      </w:r>
      <w:r>
        <w:rPr>
          <w:rFonts w:ascii="Garamond" w:hAnsi="Garamond"/>
          <w:szCs w:val="22"/>
        </w:rPr>
        <w:t>rynku pracy</w:t>
      </w:r>
      <w:r w:rsidRPr="00737C47">
        <w:rPr>
          <w:rFonts w:ascii="Garamond" w:hAnsi="Garamond"/>
          <w:szCs w:val="22"/>
        </w:rPr>
        <w:t xml:space="preserve"> </w:t>
      </w:r>
      <w:r w:rsidR="00922E57">
        <w:rPr>
          <w:rFonts w:ascii="Garamond" w:hAnsi="Garamond"/>
          <w:szCs w:val="22"/>
        </w:rPr>
        <w:t xml:space="preserve">obszaru </w:t>
      </w:r>
      <w:r w:rsidRPr="00737C47">
        <w:rPr>
          <w:rFonts w:ascii="Garamond" w:hAnsi="Garamond"/>
          <w:szCs w:val="22"/>
        </w:rPr>
        <w:t>PLGR w 2013 r.</w:t>
      </w:r>
    </w:p>
    <w:tbl>
      <w:tblPr>
        <w:tblStyle w:val="Tabela-Siatka"/>
        <w:tblW w:w="9319" w:type="dxa"/>
        <w:tblLayout w:type="fixed"/>
        <w:tblLook w:val="04A0"/>
      </w:tblPr>
      <w:tblGrid>
        <w:gridCol w:w="1592"/>
        <w:gridCol w:w="854"/>
        <w:gridCol w:w="630"/>
        <w:gridCol w:w="938"/>
        <w:gridCol w:w="630"/>
        <w:gridCol w:w="812"/>
        <w:gridCol w:w="825"/>
        <w:gridCol w:w="644"/>
        <w:gridCol w:w="952"/>
        <w:gridCol w:w="616"/>
        <w:gridCol w:w="826"/>
      </w:tblGrid>
      <w:tr w:rsidR="00B40A59" w:rsidTr="00B40A59">
        <w:tc>
          <w:tcPr>
            <w:tcW w:w="1592" w:type="dxa"/>
            <w:vMerge w:val="restart"/>
            <w:shd w:val="clear" w:color="auto" w:fill="B2A1C7" w:themeFill="accent4" w:themeFillTint="99"/>
            <w:vAlign w:val="center"/>
          </w:tcPr>
          <w:p w:rsidR="00DB02A5" w:rsidRPr="00D560F6" w:rsidRDefault="00DB02A5" w:rsidP="00452188">
            <w:pPr>
              <w:spacing w:line="0" w:lineRule="atLeast"/>
              <w:jc w:val="center"/>
              <w:rPr>
                <w:rFonts w:ascii="Garamond" w:hAnsi="Garamond"/>
                <w:sz w:val="16"/>
                <w:szCs w:val="16"/>
              </w:rPr>
            </w:pPr>
            <w:r w:rsidRPr="00D560F6">
              <w:rPr>
                <w:rFonts w:ascii="Garamond" w:hAnsi="Garamond"/>
                <w:sz w:val="16"/>
                <w:szCs w:val="16"/>
              </w:rPr>
              <w:t>Gmina</w:t>
            </w:r>
          </w:p>
        </w:tc>
        <w:tc>
          <w:tcPr>
            <w:tcW w:w="3864" w:type="dxa"/>
            <w:gridSpan w:val="5"/>
            <w:shd w:val="clear" w:color="auto" w:fill="B2A1C7" w:themeFill="accent4" w:themeFillTint="99"/>
            <w:vAlign w:val="center"/>
          </w:tcPr>
          <w:p w:rsidR="00DB02A5" w:rsidRPr="00D560F6" w:rsidRDefault="00DB02A5" w:rsidP="00452188">
            <w:pPr>
              <w:spacing w:line="0" w:lineRule="atLeast"/>
              <w:jc w:val="center"/>
              <w:rPr>
                <w:rFonts w:ascii="Garamond" w:hAnsi="Garamond"/>
                <w:sz w:val="16"/>
                <w:szCs w:val="16"/>
              </w:rPr>
            </w:pPr>
            <w:r w:rsidRPr="00D560F6">
              <w:rPr>
                <w:rFonts w:ascii="Garamond" w:hAnsi="Garamond"/>
                <w:sz w:val="16"/>
                <w:szCs w:val="16"/>
              </w:rPr>
              <w:t>Pracujący</w:t>
            </w:r>
          </w:p>
        </w:tc>
        <w:tc>
          <w:tcPr>
            <w:tcW w:w="3863" w:type="dxa"/>
            <w:gridSpan w:val="5"/>
            <w:shd w:val="clear" w:color="auto" w:fill="B2A1C7" w:themeFill="accent4" w:themeFillTint="99"/>
          </w:tcPr>
          <w:p w:rsidR="00DB02A5" w:rsidRPr="00D560F6" w:rsidRDefault="00DB02A5" w:rsidP="00452188">
            <w:pPr>
              <w:spacing w:line="0" w:lineRule="atLeast"/>
              <w:jc w:val="center"/>
              <w:rPr>
                <w:rFonts w:ascii="Garamond" w:hAnsi="Garamond"/>
                <w:sz w:val="16"/>
                <w:szCs w:val="16"/>
              </w:rPr>
            </w:pPr>
            <w:r w:rsidRPr="00D560F6">
              <w:rPr>
                <w:rFonts w:ascii="Garamond" w:hAnsi="Garamond"/>
                <w:sz w:val="16"/>
                <w:szCs w:val="16"/>
              </w:rPr>
              <w:t>Bezrobotni</w:t>
            </w:r>
          </w:p>
        </w:tc>
      </w:tr>
      <w:tr w:rsidR="00D560F6" w:rsidTr="00B40A59">
        <w:tc>
          <w:tcPr>
            <w:tcW w:w="1592" w:type="dxa"/>
            <w:vMerge/>
            <w:shd w:val="clear" w:color="auto" w:fill="B2A1C7" w:themeFill="accent4" w:themeFillTint="99"/>
            <w:vAlign w:val="center"/>
          </w:tcPr>
          <w:p w:rsidR="00DB02A5" w:rsidRPr="00D560F6" w:rsidRDefault="00DB02A5" w:rsidP="00452188">
            <w:pPr>
              <w:spacing w:line="0" w:lineRule="atLeast"/>
              <w:jc w:val="center"/>
              <w:rPr>
                <w:rFonts w:ascii="Garamond" w:hAnsi="Garamond"/>
                <w:sz w:val="16"/>
                <w:szCs w:val="16"/>
              </w:rPr>
            </w:pPr>
          </w:p>
        </w:tc>
        <w:tc>
          <w:tcPr>
            <w:tcW w:w="854" w:type="dxa"/>
            <w:shd w:val="clear" w:color="auto" w:fill="B2A1C7" w:themeFill="accent4" w:themeFillTint="99"/>
            <w:vAlign w:val="center"/>
          </w:tcPr>
          <w:p w:rsidR="00DB02A5" w:rsidRPr="00D560F6" w:rsidRDefault="00DB02A5" w:rsidP="00452188">
            <w:pPr>
              <w:spacing w:line="0" w:lineRule="atLeast"/>
              <w:jc w:val="center"/>
              <w:rPr>
                <w:rFonts w:ascii="Garamond" w:hAnsi="Garamond"/>
                <w:sz w:val="16"/>
                <w:szCs w:val="16"/>
              </w:rPr>
            </w:pPr>
            <w:r w:rsidRPr="00D560F6">
              <w:rPr>
                <w:rFonts w:ascii="Garamond" w:hAnsi="Garamond"/>
                <w:sz w:val="16"/>
                <w:szCs w:val="16"/>
              </w:rPr>
              <w:t>Liczba</w:t>
            </w:r>
          </w:p>
        </w:tc>
        <w:tc>
          <w:tcPr>
            <w:tcW w:w="630" w:type="dxa"/>
            <w:shd w:val="clear" w:color="auto" w:fill="B2A1C7" w:themeFill="accent4" w:themeFillTint="99"/>
            <w:vAlign w:val="center"/>
          </w:tcPr>
          <w:p w:rsidR="00DB02A5" w:rsidRPr="00D560F6" w:rsidRDefault="00DB02A5" w:rsidP="00452188">
            <w:pPr>
              <w:spacing w:line="0" w:lineRule="atLeast"/>
              <w:jc w:val="center"/>
              <w:rPr>
                <w:rFonts w:ascii="Garamond" w:hAnsi="Garamond"/>
                <w:sz w:val="16"/>
                <w:szCs w:val="16"/>
              </w:rPr>
            </w:pPr>
            <w:r w:rsidRPr="00D560F6">
              <w:rPr>
                <w:rFonts w:ascii="Garamond" w:hAnsi="Garamond"/>
                <w:sz w:val="16"/>
                <w:szCs w:val="16"/>
              </w:rPr>
              <w:t>% w PLGR</w:t>
            </w:r>
          </w:p>
        </w:tc>
        <w:tc>
          <w:tcPr>
            <w:tcW w:w="938" w:type="dxa"/>
            <w:shd w:val="clear" w:color="auto" w:fill="B2A1C7" w:themeFill="accent4" w:themeFillTint="99"/>
            <w:vAlign w:val="center"/>
          </w:tcPr>
          <w:p w:rsidR="00DB02A5" w:rsidRPr="00D560F6" w:rsidRDefault="00DB02A5" w:rsidP="00452188">
            <w:pPr>
              <w:spacing w:line="0" w:lineRule="atLeast"/>
              <w:jc w:val="center"/>
              <w:rPr>
                <w:rFonts w:ascii="Garamond" w:hAnsi="Garamond"/>
                <w:sz w:val="16"/>
                <w:szCs w:val="16"/>
              </w:rPr>
            </w:pPr>
            <w:r w:rsidRPr="00D560F6">
              <w:rPr>
                <w:rFonts w:ascii="Garamond" w:hAnsi="Garamond"/>
                <w:sz w:val="16"/>
                <w:szCs w:val="16"/>
              </w:rPr>
              <w:t>Dynamika</w:t>
            </w:r>
          </w:p>
          <w:p w:rsidR="00DB02A5" w:rsidRPr="00D560F6" w:rsidRDefault="00D560F6" w:rsidP="00452188">
            <w:pPr>
              <w:spacing w:line="0" w:lineRule="atLeast"/>
              <w:jc w:val="center"/>
              <w:rPr>
                <w:rFonts w:ascii="Garamond" w:hAnsi="Garamond"/>
                <w:sz w:val="16"/>
                <w:szCs w:val="16"/>
              </w:rPr>
            </w:pPr>
            <w:r w:rsidRPr="00D560F6">
              <w:rPr>
                <w:rFonts w:ascii="Garamond" w:hAnsi="Garamond"/>
                <w:sz w:val="16"/>
                <w:szCs w:val="16"/>
              </w:rPr>
              <w:t>[</w:t>
            </w:r>
            <w:r w:rsidR="00E967DE" w:rsidRPr="00D560F6">
              <w:rPr>
                <w:rFonts w:ascii="Garamond" w:hAnsi="Garamond"/>
                <w:sz w:val="16"/>
                <w:szCs w:val="16"/>
              </w:rPr>
              <w:t>2007=100</w:t>
            </w:r>
            <w:r w:rsidRPr="00D560F6">
              <w:rPr>
                <w:rFonts w:ascii="Garamond" w:hAnsi="Garamond"/>
                <w:sz w:val="16"/>
                <w:szCs w:val="16"/>
              </w:rPr>
              <w:t>]</w:t>
            </w:r>
          </w:p>
        </w:tc>
        <w:tc>
          <w:tcPr>
            <w:tcW w:w="630" w:type="dxa"/>
            <w:shd w:val="clear" w:color="auto" w:fill="B2A1C7" w:themeFill="accent4" w:themeFillTint="99"/>
            <w:vAlign w:val="center"/>
          </w:tcPr>
          <w:p w:rsidR="00DB02A5" w:rsidRPr="00D560F6" w:rsidRDefault="00DB02A5" w:rsidP="00452188">
            <w:pPr>
              <w:spacing w:line="0" w:lineRule="atLeast"/>
              <w:jc w:val="center"/>
              <w:rPr>
                <w:rFonts w:ascii="Garamond" w:hAnsi="Garamond"/>
                <w:sz w:val="16"/>
                <w:szCs w:val="16"/>
              </w:rPr>
            </w:pPr>
            <w:r w:rsidRPr="00D560F6">
              <w:rPr>
                <w:rFonts w:ascii="Garamond" w:hAnsi="Garamond"/>
                <w:sz w:val="16"/>
                <w:szCs w:val="16"/>
              </w:rPr>
              <w:t>% kobiet</w:t>
            </w:r>
          </w:p>
        </w:tc>
        <w:tc>
          <w:tcPr>
            <w:tcW w:w="812" w:type="dxa"/>
            <w:shd w:val="clear" w:color="auto" w:fill="B2A1C7" w:themeFill="accent4" w:themeFillTint="99"/>
          </w:tcPr>
          <w:p w:rsidR="00DB02A5" w:rsidRPr="00D560F6" w:rsidRDefault="00DB02A5" w:rsidP="00DB02A5">
            <w:pPr>
              <w:spacing w:line="0" w:lineRule="atLeast"/>
              <w:jc w:val="center"/>
              <w:rPr>
                <w:rFonts w:ascii="Garamond" w:hAnsi="Garamond"/>
                <w:sz w:val="16"/>
                <w:szCs w:val="16"/>
              </w:rPr>
            </w:pPr>
            <w:r w:rsidRPr="00D560F6">
              <w:rPr>
                <w:rFonts w:ascii="Garamond" w:hAnsi="Garamond"/>
                <w:sz w:val="16"/>
                <w:szCs w:val="16"/>
              </w:rPr>
              <w:t xml:space="preserve">% w lud. </w:t>
            </w:r>
          </w:p>
          <w:p w:rsidR="00DB02A5" w:rsidRPr="00D560F6" w:rsidRDefault="00DB02A5" w:rsidP="00DB02A5">
            <w:pPr>
              <w:spacing w:line="0" w:lineRule="atLeast"/>
              <w:jc w:val="center"/>
              <w:rPr>
                <w:rFonts w:ascii="Garamond" w:hAnsi="Garamond"/>
                <w:sz w:val="16"/>
                <w:szCs w:val="16"/>
              </w:rPr>
            </w:pPr>
            <w:r w:rsidRPr="00D560F6">
              <w:rPr>
                <w:rFonts w:ascii="Garamond" w:hAnsi="Garamond"/>
                <w:sz w:val="16"/>
                <w:szCs w:val="16"/>
              </w:rPr>
              <w:t>w wieku produkcyjnym</w:t>
            </w:r>
          </w:p>
        </w:tc>
        <w:tc>
          <w:tcPr>
            <w:tcW w:w="825" w:type="dxa"/>
            <w:shd w:val="clear" w:color="auto" w:fill="B2A1C7" w:themeFill="accent4" w:themeFillTint="99"/>
            <w:vAlign w:val="center"/>
          </w:tcPr>
          <w:p w:rsidR="00DB02A5" w:rsidRPr="00D560F6" w:rsidRDefault="00DB02A5" w:rsidP="00EC1B26">
            <w:pPr>
              <w:spacing w:line="0" w:lineRule="atLeast"/>
              <w:jc w:val="center"/>
              <w:rPr>
                <w:rFonts w:ascii="Garamond" w:hAnsi="Garamond"/>
                <w:sz w:val="16"/>
                <w:szCs w:val="16"/>
              </w:rPr>
            </w:pPr>
            <w:r w:rsidRPr="00D560F6">
              <w:rPr>
                <w:rFonts w:ascii="Garamond" w:hAnsi="Garamond"/>
                <w:sz w:val="16"/>
                <w:szCs w:val="16"/>
              </w:rPr>
              <w:t>Liczba</w:t>
            </w:r>
          </w:p>
        </w:tc>
        <w:tc>
          <w:tcPr>
            <w:tcW w:w="644" w:type="dxa"/>
            <w:shd w:val="clear" w:color="auto" w:fill="B2A1C7" w:themeFill="accent4" w:themeFillTint="99"/>
            <w:vAlign w:val="center"/>
          </w:tcPr>
          <w:p w:rsidR="00DB02A5" w:rsidRPr="00D560F6" w:rsidRDefault="00DB02A5" w:rsidP="00452188">
            <w:pPr>
              <w:spacing w:line="0" w:lineRule="atLeast"/>
              <w:jc w:val="center"/>
              <w:rPr>
                <w:rFonts w:ascii="Garamond" w:hAnsi="Garamond"/>
                <w:sz w:val="16"/>
                <w:szCs w:val="16"/>
              </w:rPr>
            </w:pPr>
            <w:r w:rsidRPr="00D560F6">
              <w:rPr>
                <w:rFonts w:ascii="Garamond" w:hAnsi="Garamond"/>
                <w:sz w:val="16"/>
                <w:szCs w:val="16"/>
              </w:rPr>
              <w:t>% w PLGR</w:t>
            </w:r>
          </w:p>
        </w:tc>
        <w:tc>
          <w:tcPr>
            <w:tcW w:w="952" w:type="dxa"/>
            <w:shd w:val="clear" w:color="auto" w:fill="B2A1C7" w:themeFill="accent4" w:themeFillTint="99"/>
            <w:vAlign w:val="center"/>
          </w:tcPr>
          <w:p w:rsidR="00DB02A5" w:rsidRPr="00D560F6" w:rsidRDefault="00DB02A5" w:rsidP="00452188">
            <w:pPr>
              <w:spacing w:line="0" w:lineRule="atLeast"/>
              <w:jc w:val="center"/>
              <w:rPr>
                <w:rFonts w:ascii="Garamond" w:hAnsi="Garamond"/>
                <w:sz w:val="16"/>
                <w:szCs w:val="16"/>
              </w:rPr>
            </w:pPr>
            <w:r w:rsidRPr="00D560F6">
              <w:rPr>
                <w:rFonts w:ascii="Garamond" w:hAnsi="Garamond"/>
                <w:sz w:val="16"/>
                <w:szCs w:val="16"/>
              </w:rPr>
              <w:t>Dynamika</w:t>
            </w:r>
          </w:p>
          <w:p w:rsidR="00DB02A5" w:rsidRPr="00D560F6" w:rsidRDefault="00D560F6" w:rsidP="00452188">
            <w:pPr>
              <w:spacing w:line="0" w:lineRule="atLeast"/>
              <w:jc w:val="center"/>
              <w:rPr>
                <w:rFonts w:ascii="Garamond" w:hAnsi="Garamond"/>
                <w:sz w:val="16"/>
                <w:szCs w:val="16"/>
              </w:rPr>
            </w:pPr>
            <w:r w:rsidRPr="00D560F6">
              <w:rPr>
                <w:rFonts w:ascii="Garamond" w:hAnsi="Garamond"/>
                <w:sz w:val="16"/>
                <w:szCs w:val="16"/>
              </w:rPr>
              <w:t>[</w:t>
            </w:r>
            <w:r w:rsidR="00E967DE" w:rsidRPr="00D560F6">
              <w:rPr>
                <w:rFonts w:ascii="Garamond" w:hAnsi="Garamond"/>
                <w:sz w:val="16"/>
                <w:szCs w:val="16"/>
              </w:rPr>
              <w:t>2007=100</w:t>
            </w:r>
            <w:r w:rsidRPr="00D560F6">
              <w:rPr>
                <w:rFonts w:ascii="Garamond" w:hAnsi="Garamond"/>
                <w:sz w:val="16"/>
                <w:szCs w:val="16"/>
              </w:rPr>
              <w:t>]</w:t>
            </w:r>
          </w:p>
        </w:tc>
        <w:tc>
          <w:tcPr>
            <w:tcW w:w="616" w:type="dxa"/>
            <w:shd w:val="clear" w:color="auto" w:fill="B2A1C7" w:themeFill="accent4" w:themeFillTint="99"/>
            <w:vAlign w:val="center"/>
          </w:tcPr>
          <w:p w:rsidR="00DB02A5" w:rsidRPr="00D560F6" w:rsidRDefault="00DB02A5" w:rsidP="00452188">
            <w:pPr>
              <w:spacing w:line="0" w:lineRule="atLeast"/>
              <w:jc w:val="center"/>
              <w:rPr>
                <w:rFonts w:ascii="Garamond" w:hAnsi="Garamond"/>
                <w:sz w:val="16"/>
                <w:szCs w:val="16"/>
              </w:rPr>
            </w:pPr>
            <w:r w:rsidRPr="00D560F6">
              <w:rPr>
                <w:rFonts w:ascii="Garamond" w:hAnsi="Garamond"/>
                <w:sz w:val="16"/>
                <w:szCs w:val="16"/>
              </w:rPr>
              <w:t xml:space="preserve">% </w:t>
            </w:r>
          </w:p>
          <w:p w:rsidR="00DB02A5" w:rsidRPr="00D560F6" w:rsidRDefault="00DB02A5" w:rsidP="00452188">
            <w:pPr>
              <w:spacing w:line="0" w:lineRule="atLeast"/>
              <w:jc w:val="center"/>
              <w:rPr>
                <w:rFonts w:ascii="Garamond" w:hAnsi="Garamond"/>
                <w:sz w:val="16"/>
                <w:szCs w:val="16"/>
              </w:rPr>
            </w:pPr>
            <w:r w:rsidRPr="00D560F6">
              <w:rPr>
                <w:rFonts w:ascii="Garamond" w:hAnsi="Garamond"/>
                <w:sz w:val="16"/>
                <w:szCs w:val="16"/>
              </w:rPr>
              <w:t>kobiet</w:t>
            </w:r>
          </w:p>
        </w:tc>
        <w:tc>
          <w:tcPr>
            <w:tcW w:w="826" w:type="dxa"/>
            <w:shd w:val="clear" w:color="auto" w:fill="B2A1C7" w:themeFill="accent4" w:themeFillTint="99"/>
            <w:vAlign w:val="center"/>
          </w:tcPr>
          <w:p w:rsidR="00DB02A5" w:rsidRPr="00D560F6" w:rsidRDefault="00DB02A5" w:rsidP="00452188">
            <w:pPr>
              <w:spacing w:line="0" w:lineRule="atLeast"/>
              <w:jc w:val="center"/>
              <w:rPr>
                <w:rFonts w:ascii="Garamond" w:hAnsi="Garamond"/>
                <w:sz w:val="16"/>
                <w:szCs w:val="16"/>
              </w:rPr>
            </w:pPr>
            <w:r w:rsidRPr="00D560F6">
              <w:rPr>
                <w:rFonts w:ascii="Garamond" w:hAnsi="Garamond"/>
                <w:sz w:val="16"/>
                <w:szCs w:val="16"/>
              </w:rPr>
              <w:t xml:space="preserve">% w lud. </w:t>
            </w:r>
          </w:p>
          <w:p w:rsidR="00DB02A5" w:rsidRPr="00D560F6" w:rsidRDefault="00DB02A5" w:rsidP="00452188">
            <w:pPr>
              <w:spacing w:line="0" w:lineRule="atLeast"/>
              <w:jc w:val="center"/>
              <w:rPr>
                <w:rFonts w:ascii="Garamond" w:hAnsi="Garamond"/>
                <w:sz w:val="16"/>
                <w:szCs w:val="16"/>
              </w:rPr>
            </w:pPr>
            <w:r w:rsidRPr="00D560F6">
              <w:rPr>
                <w:rFonts w:ascii="Garamond" w:hAnsi="Garamond"/>
                <w:sz w:val="16"/>
                <w:szCs w:val="16"/>
              </w:rPr>
              <w:t>w wieku produkcyjnym</w:t>
            </w:r>
          </w:p>
        </w:tc>
      </w:tr>
      <w:tr w:rsidR="00B40A59" w:rsidTr="00B40A59">
        <w:tc>
          <w:tcPr>
            <w:tcW w:w="1592" w:type="dxa"/>
          </w:tcPr>
          <w:p w:rsidR="00DE3154" w:rsidRPr="00DB02A5" w:rsidRDefault="00DE3154" w:rsidP="00452188">
            <w:pPr>
              <w:spacing w:line="0" w:lineRule="atLeast"/>
              <w:jc w:val="both"/>
              <w:rPr>
                <w:rFonts w:ascii="Garamond" w:hAnsi="Garamond"/>
                <w:sz w:val="18"/>
                <w:szCs w:val="18"/>
              </w:rPr>
            </w:pPr>
            <w:r w:rsidRPr="00DB02A5">
              <w:rPr>
                <w:rFonts w:ascii="Garamond" w:hAnsi="Garamond"/>
                <w:sz w:val="18"/>
                <w:szCs w:val="18"/>
              </w:rPr>
              <w:t xml:space="preserve">Hel </w:t>
            </w:r>
            <w:r w:rsidR="00C021AF">
              <w:rPr>
                <w:rFonts w:ascii="Garamond" w:hAnsi="Garamond"/>
                <w:sz w:val="18"/>
                <w:szCs w:val="18"/>
              </w:rPr>
              <w:t>(m)</w:t>
            </w:r>
          </w:p>
        </w:tc>
        <w:tc>
          <w:tcPr>
            <w:tcW w:w="854"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447</w:t>
            </w:r>
          </w:p>
        </w:tc>
        <w:tc>
          <w:tcPr>
            <w:tcW w:w="630"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2,8</w:t>
            </w:r>
          </w:p>
        </w:tc>
        <w:tc>
          <w:tcPr>
            <w:tcW w:w="938"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94,5</w:t>
            </w:r>
          </w:p>
        </w:tc>
        <w:tc>
          <w:tcPr>
            <w:tcW w:w="630"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65,8</w:t>
            </w:r>
          </w:p>
        </w:tc>
        <w:tc>
          <w:tcPr>
            <w:tcW w:w="812" w:type="dxa"/>
            <w:vAlign w:val="bottom"/>
          </w:tcPr>
          <w:p w:rsidR="00DE3154" w:rsidRPr="00DE3154" w:rsidRDefault="00DE3154">
            <w:pPr>
              <w:jc w:val="right"/>
              <w:rPr>
                <w:rFonts w:ascii="Garamond" w:hAnsi="Garamond" w:cs="Arial"/>
                <w:sz w:val="18"/>
                <w:szCs w:val="18"/>
              </w:rPr>
            </w:pPr>
            <w:r w:rsidRPr="00DE3154">
              <w:rPr>
                <w:rFonts w:ascii="Garamond" w:hAnsi="Garamond" w:cs="Arial"/>
                <w:sz w:val="18"/>
                <w:szCs w:val="18"/>
              </w:rPr>
              <w:t>17,9</w:t>
            </w:r>
          </w:p>
        </w:tc>
        <w:tc>
          <w:tcPr>
            <w:tcW w:w="825"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173</w:t>
            </w:r>
          </w:p>
        </w:tc>
        <w:tc>
          <w:tcPr>
            <w:tcW w:w="644"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3,6</w:t>
            </w:r>
          </w:p>
        </w:tc>
        <w:tc>
          <w:tcPr>
            <w:tcW w:w="952"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116,9</w:t>
            </w:r>
          </w:p>
        </w:tc>
        <w:tc>
          <w:tcPr>
            <w:tcW w:w="616"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52,6</w:t>
            </w:r>
          </w:p>
        </w:tc>
        <w:tc>
          <w:tcPr>
            <w:tcW w:w="826"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6,9</w:t>
            </w:r>
          </w:p>
        </w:tc>
      </w:tr>
      <w:tr w:rsidR="00D560F6" w:rsidTr="00B40A59">
        <w:tc>
          <w:tcPr>
            <w:tcW w:w="1592" w:type="dxa"/>
            <w:shd w:val="clear" w:color="auto" w:fill="D9D9D9" w:themeFill="background1" w:themeFillShade="D9"/>
          </w:tcPr>
          <w:p w:rsidR="00DE3154" w:rsidRPr="00DB02A5" w:rsidRDefault="00DE3154" w:rsidP="00452188">
            <w:pPr>
              <w:spacing w:line="0" w:lineRule="atLeast"/>
              <w:jc w:val="both"/>
              <w:rPr>
                <w:rFonts w:ascii="Garamond" w:hAnsi="Garamond"/>
                <w:sz w:val="18"/>
                <w:szCs w:val="18"/>
              </w:rPr>
            </w:pPr>
            <w:r w:rsidRPr="00DB02A5">
              <w:rPr>
                <w:rFonts w:ascii="Garamond" w:hAnsi="Garamond"/>
                <w:sz w:val="18"/>
                <w:szCs w:val="18"/>
              </w:rPr>
              <w:t>Jastarnia</w:t>
            </w:r>
            <w:r w:rsidR="00C021AF">
              <w:rPr>
                <w:rFonts w:ascii="Garamond" w:hAnsi="Garamond"/>
                <w:sz w:val="18"/>
                <w:szCs w:val="18"/>
              </w:rPr>
              <w:t xml:space="preserve"> (m)</w:t>
            </w:r>
            <w:r w:rsidRPr="00DB02A5">
              <w:rPr>
                <w:rFonts w:ascii="Garamond" w:hAnsi="Garamond"/>
                <w:sz w:val="18"/>
                <w:szCs w:val="18"/>
              </w:rPr>
              <w:t xml:space="preserve"> </w:t>
            </w:r>
          </w:p>
        </w:tc>
        <w:tc>
          <w:tcPr>
            <w:tcW w:w="854"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479</w:t>
            </w:r>
          </w:p>
        </w:tc>
        <w:tc>
          <w:tcPr>
            <w:tcW w:w="630"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3,0</w:t>
            </w:r>
          </w:p>
        </w:tc>
        <w:tc>
          <w:tcPr>
            <w:tcW w:w="938"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73,8</w:t>
            </w:r>
          </w:p>
        </w:tc>
        <w:tc>
          <w:tcPr>
            <w:tcW w:w="630"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61,8</w:t>
            </w:r>
          </w:p>
        </w:tc>
        <w:tc>
          <w:tcPr>
            <w:tcW w:w="812" w:type="dxa"/>
            <w:shd w:val="clear" w:color="auto" w:fill="D9D9D9" w:themeFill="background1" w:themeFillShade="D9"/>
            <w:vAlign w:val="bottom"/>
          </w:tcPr>
          <w:p w:rsidR="00DE3154" w:rsidRPr="00DE3154" w:rsidRDefault="00DE3154">
            <w:pPr>
              <w:jc w:val="right"/>
              <w:rPr>
                <w:rFonts w:ascii="Garamond" w:hAnsi="Garamond" w:cs="Arial"/>
                <w:sz w:val="18"/>
                <w:szCs w:val="18"/>
              </w:rPr>
            </w:pPr>
            <w:r w:rsidRPr="00DE3154">
              <w:rPr>
                <w:rFonts w:ascii="Garamond" w:hAnsi="Garamond" w:cs="Arial"/>
                <w:sz w:val="18"/>
                <w:szCs w:val="18"/>
              </w:rPr>
              <w:t>18,5</w:t>
            </w:r>
          </w:p>
        </w:tc>
        <w:tc>
          <w:tcPr>
            <w:tcW w:w="825"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248</w:t>
            </w:r>
          </w:p>
        </w:tc>
        <w:tc>
          <w:tcPr>
            <w:tcW w:w="644"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5,1</w:t>
            </w:r>
          </w:p>
        </w:tc>
        <w:tc>
          <w:tcPr>
            <w:tcW w:w="952"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147,6</w:t>
            </w:r>
          </w:p>
        </w:tc>
        <w:tc>
          <w:tcPr>
            <w:tcW w:w="616"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48,4</w:t>
            </w:r>
          </w:p>
        </w:tc>
        <w:tc>
          <w:tcPr>
            <w:tcW w:w="826"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9,6</w:t>
            </w:r>
          </w:p>
        </w:tc>
      </w:tr>
      <w:tr w:rsidR="00B40A59" w:rsidTr="00B40A59">
        <w:tc>
          <w:tcPr>
            <w:tcW w:w="1592" w:type="dxa"/>
          </w:tcPr>
          <w:p w:rsidR="00DE3154" w:rsidRPr="00DB02A5" w:rsidRDefault="00DE3154" w:rsidP="00452188">
            <w:pPr>
              <w:spacing w:line="0" w:lineRule="atLeast"/>
              <w:jc w:val="both"/>
              <w:rPr>
                <w:rFonts w:ascii="Garamond" w:hAnsi="Garamond"/>
                <w:sz w:val="18"/>
                <w:szCs w:val="18"/>
              </w:rPr>
            </w:pPr>
            <w:r w:rsidRPr="00DB02A5">
              <w:rPr>
                <w:rFonts w:ascii="Garamond" w:hAnsi="Garamond"/>
                <w:sz w:val="18"/>
                <w:szCs w:val="18"/>
              </w:rPr>
              <w:t xml:space="preserve">Puck </w:t>
            </w:r>
            <w:r w:rsidR="00C021AF">
              <w:rPr>
                <w:rFonts w:ascii="Garamond" w:hAnsi="Garamond"/>
                <w:sz w:val="18"/>
                <w:szCs w:val="18"/>
              </w:rPr>
              <w:t>(m)</w:t>
            </w:r>
          </w:p>
        </w:tc>
        <w:tc>
          <w:tcPr>
            <w:tcW w:w="854"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2 820</w:t>
            </w:r>
          </w:p>
        </w:tc>
        <w:tc>
          <w:tcPr>
            <w:tcW w:w="630"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17,6</w:t>
            </w:r>
          </w:p>
        </w:tc>
        <w:tc>
          <w:tcPr>
            <w:tcW w:w="938"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100,8</w:t>
            </w:r>
          </w:p>
        </w:tc>
        <w:tc>
          <w:tcPr>
            <w:tcW w:w="630"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57,1</w:t>
            </w:r>
          </w:p>
        </w:tc>
        <w:tc>
          <w:tcPr>
            <w:tcW w:w="812" w:type="dxa"/>
            <w:vAlign w:val="bottom"/>
          </w:tcPr>
          <w:p w:rsidR="00DE3154" w:rsidRPr="00DE3154" w:rsidRDefault="00DE3154">
            <w:pPr>
              <w:jc w:val="right"/>
              <w:rPr>
                <w:rFonts w:ascii="Garamond" w:hAnsi="Garamond" w:cs="Arial"/>
                <w:sz w:val="18"/>
                <w:szCs w:val="18"/>
              </w:rPr>
            </w:pPr>
            <w:r w:rsidRPr="00DE3154">
              <w:rPr>
                <w:rFonts w:ascii="Garamond" w:hAnsi="Garamond" w:cs="Arial"/>
                <w:sz w:val="18"/>
                <w:szCs w:val="18"/>
              </w:rPr>
              <w:t>38,7</w:t>
            </w:r>
          </w:p>
        </w:tc>
        <w:tc>
          <w:tcPr>
            <w:tcW w:w="825"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540</w:t>
            </w:r>
          </w:p>
        </w:tc>
        <w:tc>
          <w:tcPr>
            <w:tcW w:w="644"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11,1</w:t>
            </w:r>
          </w:p>
        </w:tc>
        <w:tc>
          <w:tcPr>
            <w:tcW w:w="952"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110,0</w:t>
            </w:r>
          </w:p>
        </w:tc>
        <w:tc>
          <w:tcPr>
            <w:tcW w:w="616"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48,3</w:t>
            </w:r>
          </w:p>
        </w:tc>
        <w:tc>
          <w:tcPr>
            <w:tcW w:w="826"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7,4</w:t>
            </w:r>
          </w:p>
        </w:tc>
      </w:tr>
      <w:tr w:rsidR="00D560F6" w:rsidTr="00B40A59">
        <w:tc>
          <w:tcPr>
            <w:tcW w:w="1592" w:type="dxa"/>
            <w:shd w:val="clear" w:color="auto" w:fill="D9D9D9" w:themeFill="background1" w:themeFillShade="D9"/>
            <w:vAlign w:val="center"/>
          </w:tcPr>
          <w:p w:rsidR="00DE3154" w:rsidRPr="00DB02A5" w:rsidRDefault="00DE3154" w:rsidP="00D560F6">
            <w:pPr>
              <w:spacing w:line="0" w:lineRule="atLeast"/>
              <w:rPr>
                <w:rFonts w:ascii="Garamond" w:hAnsi="Garamond"/>
                <w:sz w:val="18"/>
                <w:szCs w:val="18"/>
              </w:rPr>
            </w:pPr>
            <w:r w:rsidRPr="00DB02A5">
              <w:rPr>
                <w:rFonts w:ascii="Garamond" w:hAnsi="Garamond"/>
                <w:sz w:val="18"/>
                <w:szCs w:val="18"/>
              </w:rPr>
              <w:t>Władysławowo</w:t>
            </w:r>
            <w:r w:rsidR="00D560F6">
              <w:rPr>
                <w:rFonts w:ascii="Garamond" w:hAnsi="Garamond"/>
                <w:sz w:val="18"/>
                <w:szCs w:val="18"/>
              </w:rPr>
              <w:t xml:space="preserve"> </w:t>
            </w:r>
            <w:r w:rsidR="00C021AF">
              <w:rPr>
                <w:rFonts w:ascii="Garamond" w:hAnsi="Garamond"/>
                <w:sz w:val="18"/>
                <w:szCs w:val="18"/>
              </w:rPr>
              <w:t>(m)</w:t>
            </w:r>
          </w:p>
        </w:tc>
        <w:tc>
          <w:tcPr>
            <w:tcW w:w="854" w:type="dxa"/>
            <w:shd w:val="clear" w:color="auto" w:fill="D9D9D9" w:themeFill="background1" w:themeFillShade="D9"/>
            <w:vAlign w:val="center"/>
          </w:tcPr>
          <w:p w:rsidR="00DE3154" w:rsidRPr="00DB02A5" w:rsidRDefault="00DE3154" w:rsidP="00C021AF">
            <w:pPr>
              <w:jc w:val="right"/>
              <w:rPr>
                <w:rFonts w:ascii="Garamond" w:hAnsi="Garamond" w:cs="Arial"/>
                <w:sz w:val="18"/>
                <w:szCs w:val="18"/>
              </w:rPr>
            </w:pPr>
            <w:r w:rsidRPr="00DB02A5">
              <w:rPr>
                <w:rFonts w:ascii="Garamond" w:hAnsi="Garamond" w:cs="Arial"/>
                <w:sz w:val="18"/>
                <w:szCs w:val="18"/>
              </w:rPr>
              <w:t>2 446</w:t>
            </w:r>
          </w:p>
        </w:tc>
        <w:tc>
          <w:tcPr>
            <w:tcW w:w="630" w:type="dxa"/>
            <w:shd w:val="clear" w:color="auto" w:fill="D9D9D9" w:themeFill="background1" w:themeFillShade="D9"/>
            <w:vAlign w:val="center"/>
          </w:tcPr>
          <w:p w:rsidR="00DE3154" w:rsidRPr="00DB02A5" w:rsidRDefault="00DE3154" w:rsidP="00C021AF">
            <w:pPr>
              <w:jc w:val="right"/>
              <w:rPr>
                <w:rFonts w:ascii="Garamond" w:hAnsi="Garamond" w:cs="Arial"/>
                <w:sz w:val="18"/>
                <w:szCs w:val="18"/>
              </w:rPr>
            </w:pPr>
            <w:r w:rsidRPr="00DB02A5">
              <w:rPr>
                <w:rFonts w:ascii="Garamond" w:hAnsi="Garamond" w:cs="Arial"/>
                <w:sz w:val="18"/>
                <w:szCs w:val="18"/>
              </w:rPr>
              <w:t>15,2</w:t>
            </w:r>
          </w:p>
        </w:tc>
        <w:tc>
          <w:tcPr>
            <w:tcW w:w="938" w:type="dxa"/>
            <w:shd w:val="clear" w:color="auto" w:fill="D9D9D9" w:themeFill="background1" w:themeFillShade="D9"/>
            <w:vAlign w:val="center"/>
          </w:tcPr>
          <w:p w:rsidR="00DE3154" w:rsidRPr="00DB02A5" w:rsidRDefault="00DE3154" w:rsidP="00C021AF">
            <w:pPr>
              <w:jc w:val="right"/>
              <w:rPr>
                <w:rFonts w:ascii="Garamond" w:hAnsi="Garamond" w:cs="Arial"/>
                <w:sz w:val="18"/>
                <w:szCs w:val="18"/>
              </w:rPr>
            </w:pPr>
            <w:r w:rsidRPr="00DB02A5">
              <w:rPr>
                <w:rFonts w:ascii="Garamond" w:hAnsi="Garamond" w:cs="Arial"/>
                <w:sz w:val="18"/>
                <w:szCs w:val="18"/>
              </w:rPr>
              <w:t>103,6</w:t>
            </w:r>
          </w:p>
        </w:tc>
        <w:tc>
          <w:tcPr>
            <w:tcW w:w="630" w:type="dxa"/>
            <w:shd w:val="clear" w:color="auto" w:fill="D9D9D9" w:themeFill="background1" w:themeFillShade="D9"/>
            <w:vAlign w:val="center"/>
          </w:tcPr>
          <w:p w:rsidR="00DE3154" w:rsidRPr="00DB02A5" w:rsidRDefault="00DE3154" w:rsidP="00C021AF">
            <w:pPr>
              <w:jc w:val="right"/>
              <w:rPr>
                <w:rFonts w:ascii="Garamond" w:hAnsi="Garamond" w:cs="Arial"/>
                <w:sz w:val="18"/>
                <w:szCs w:val="18"/>
              </w:rPr>
            </w:pPr>
            <w:r w:rsidRPr="00DB02A5">
              <w:rPr>
                <w:rFonts w:ascii="Garamond" w:hAnsi="Garamond" w:cs="Arial"/>
                <w:sz w:val="18"/>
                <w:szCs w:val="18"/>
              </w:rPr>
              <w:t>51,6</w:t>
            </w:r>
          </w:p>
        </w:tc>
        <w:tc>
          <w:tcPr>
            <w:tcW w:w="812" w:type="dxa"/>
            <w:shd w:val="clear" w:color="auto" w:fill="D9D9D9" w:themeFill="background1" w:themeFillShade="D9"/>
            <w:vAlign w:val="center"/>
          </w:tcPr>
          <w:p w:rsidR="00DE3154" w:rsidRPr="00DE3154" w:rsidRDefault="00DE3154" w:rsidP="00C021AF">
            <w:pPr>
              <w:jc w:val="right"/>
              <w:rPr>
                <w:rFonts w:ascii="Garamond" w:hAnsi="Garamond" w:cs="Arial"/>
                <w:sz w:val="18"/>
                <w:szCs w:val="18"/>
              </w:rPr>
            </w:pPr>
            <w:r w:rsidRPr="00DE3154">
              <w:rPr>
                <w:rFonts w:ascii="Garamond" w:hAnsi="Garamond" w:cs="Arial"/>
                <w:sz w:val="18"/>
                <w:szCs w:val="18"/>
              </w:rPr>
              <w:t>23,3</w:t>
            </w:r>
          </w:p>
        </w:tc>
        <w:tc>
          <w:tcPr>
            <w:tcW w:w="825" w:type="dxa"/>
            <w:shd w:val="clear" w:color="auto" w:fill="D9D9D9" w:themeFill="background1" w:themeFillShade="D9"/>
            <w:vAlign w:val="center"/>
          </w:tcPr>
          <w:p w:rsidR="00DE3154" w:rsidRPr="00DB02A5" w:rsidRDefault="00DE3154" w:rsidP="00C021AF">
            <w:pPr>
              <w:jc w:val="right"/>
              <w:rPr>
                <w:rFonts w:ascii="Garamond" w:hAnsi="Garamond" w:cs="Arial"/>
                <w:sz w:val="18"/>
                <w:szCs w:val="18"/>
              </w:rPr>
            </w:pPr>
            <w:r w:rsidRPr="00DB02A5">
              <w:rPr>
                <w:rFonts w:ascii="Garamond" w:hAnsi="Garamond" w:cs="Arial"/>
                <w:sz w:val="18"/>
                <w:szCs w:val="18"/>
              </w:rPr>
              <w:t>739</w:t>
            </w:r>
          </w:p>
        </w:tc>
        <w:tc>
          <w:tcPr>
            <w:tcW w:w="644" w:type="dxa"/>
            <w:shd w:val="clear" w:color="auto" w:fill="D9D9D9" w:themeFill="background1" w:themeFillShade="D9"/>
            <w:vAlign w:val="center"/>
          </w:tcPr>
          <w:p w:rsidR="00DE3154" w:rsidRPr="00DB02A5" w:rsidRDefault="00DE3154" w:rsidP="00C021AF">
            <w:pPr>
              <w:jc w:val="right"/>
              <w:rPr>
                <w:rFonts w:ascii="Garamond" w:hAnsi="Garamond" w:cs="Arial"/>
                <w:sz w:val="18"/>
                <w:szCs w:val="18"/>
              </w:rPr>
            </w:pPr>
            <w:r w:rsidRPr="00DB02A5">
              <w:rPr>
                <w:rFonts w:ascii="Garamond" w:hAnsi="Garamond" w:cs="Arial"/>
                <w:sz w:val="18"/>
                <w:szCs w:val="18"/>
              </w:rPr>
              <w:t>15,2</w:t>
            </w:r>
          </w:p>
        </w:tc>
        <w:tc>
          <w:tcPr>
            <w:tcW w:w="952" w:type="dxa"/>
            <w:shd w:val="clear" w:color="auto" w:fill="D9D9D9" w:themeFill="background1" w:themeFillShade="D9"/>
            <w:vAlign w:val="center"/>
          </w:tcPr>
          <w:p w:rsidR="00DE3154" w:rsidRPr="00DB02A5" w:rsidRDefault="00DE3154" w:rsidP="00C021AF">
            <w:pPr>
              <w:jc w:val="right"/>
              <w:rPr>
                <w:rFonts w:ascii="Garamond" w:hAnsi="Garamond" w:cs="Arial"/>
                <w:sz w:val="18"/>
                <w:szCs w:val="18"/>
              </w:rPr>
            </w:pPr>
            <w:r w:rsidRPr="00DB02A5">
              <w:rPr>
                <w:rFonts w:ascii="Garamond" w:hAnsi="Garamond" w:cs="Arial"/>
                <w:sz w:val="18"/>
                <w:szCs w:val="18"/>
              </w:rPr>
              <w:t>119,6</w:t>
            </w:r>
          </w:p>
        </w:tc>
        <w:tc>
          <w:tcPr>
            <w:tcW w:w="616" w:type="dxa"/>
            <w:shd w:val="clear" w:color="auto" w:fill="D9D9D9" w:themeFill="background1" w:themeFillShade="D9"/>
            <w:vAlign w:val="center"/>
          </w:tcPr>
          <w:p w:rsidR="00DE3154" w:rsidRPr="00DB02A5" w:rsidRDefault="00DE3154" w:rsidP="00C021AF">
            <w:pPr>
              <w:jc w:val="right"/>
              <w:rPr>
                <w:rFonts w:ascii="Garamond" w:hAnsi="Garamond" w:cs="Arial"/>
                <w:sz w:val="18"/>
                <w:szCs w:val="18"/>
              </w:rPr>
            </w:pPr>
            <w:r w:rsidRPr="00DB02A5">
              <w:rPr>
                <w:rFonts w:ascii="Garamond" w:hAnsi="Garamond" w:cs="Arial"/>
                <w:sz w:val="18"/>
                <w:szCs w:val="18"/>
              </w:rPr>
              <w:t>49,9</w:t>
            </w:r>
          </w:p>
        </w:tc>
        <w:tc>
          <w:tcPr>
            <w:tcW w:w="826" w:type="dxa"/>
            <w:shd w:val="clear" w:color="auto" w:fill="D9D9D9" w:themeFill="background1" w:themeFillShade="D9"/>
            <w:vAlign w:val="center"/>
          </w:tcPr>
          <w:p w:rsidR="00DE3154" w:rsidRPr="00DB02A5" w:rsidRDefault="00DE3154" w:rsidP="00C021AF">
            <w:pPr>
              <w:jc w:val="right"/>
              <w:rPr>
                <w:rFonts w:ascii="Garamond" w:hAnsi="Garamond" w:cs="Arial"/>
                <w:sz w:val="18"/>
                <w:szCs w:val="18"/>
              </w:rPr>
            </w:pPr>
            <w:r w:rsidRPr="00DB02A5">
              <w:rPr>
                <w:rFonts w:ascii="Garamond" w:hAnsi="Garamond" w:cs="Arial"/>
                <w:sz w:val="18"/>
                <w:szCs w:val="18"/>
              </w:rPr>
              <w:t>7,0</w:t>
            </w:r>
          </w:p>
        </w:tc>
      </w:tr>
      <w:tr w:rsidR="00B40A59" w:rsidTr="00B40A59">
        <w:tc>
          <w:tcPr>
            <w:tcW w:w="1592" w:type="dxa"/>
          </w:tcPr>
          <w:p w:rsidR="00DE3154" w:rsidRPr="00DB02A5" w:rsidRDefault="00DE3154" w:rsidP="00452188">
            <w:pPr>
              <w:spacing w:line="0" w:lineRule="atLeast"/>
              <w:jc w:val="both"/>
              <w:rPr>
                <w:rFonts w:ascii="Garamond" w:hAnsi="Garamond"/>
                <w:sz w:val="18"/>
                <w:szCs w:val="18"/>
              </w:rPr>
            </w:pPr>
            <w:r w:rsidRPr="00DB02A5">
              <w:rPr>
                <w:rFonts w:ascii="Garamond" w:hAnsi="Garamond"/>
                <w:sz w:val="18"/>
                <w:szCs w:val="18"/>
              </w:rPr>
              <w:t>Kosakowo</w:t>
            </w:r>
          </w:p>
        </w:tc>
        <w:tc>
          <w:tcPr>
            <w:tcW w:w="854"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1 410</w:t>
            </w:r>
          </w:p>
        </w:tc>
        <w:tc>
          <w:tcPr>
            <w:tcW w:w="630"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8,8</w:t>
            </w:r>
          </w:p>
        </w:tc>
        <w:tc>
          <w:tcPr>
            <w:tcW w:w="938"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132,5</w:t>
            </w:r>
          </w:p>
        </w:tc>
        <w:tc>
          <w:tcPr>
            <w:tcW w:w="630"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44,5</w:t>
            </w:r>
          </w:p>
        </w:tc>
        <w:tc>
          <w:tcPr>
            <w:tcW w:w="812" w:type="dxa"/>
            <w:vAlign w:val="bottom"/>
          </w:tcPr>
          <w:p w:rsidR="00DE3154" w:rsidRPr="00DE3154" w:rsidRDefault="00DE3154">
            <w:pPr>
              <w:jc w:val="right"/>
              <w:rPr>
                <w:rFonts w:ascii="Garamond" w:hAnsi="Garamond" w:cs="Arial"/>
                <w:sz w:val="18"/>
                <w:szCs w:val="18"/>
              </w:rPr>
            </w:pPr>
            <w:r w:rsidRPr="00DE3154">
              <w:rPr>
                <w:rFonts w:ascii="Garamond" w:hAnsi="Garamond" w:cs="Arial"/>
                <w:sz w:val="18"/>
                <w:szCs w:val="18"/>
              </w:rPr>
              <w:t>17,2</w:t>
            </w:r>
          </w:p>
        </w:tc>
        <w:tc>
          <w:tcPr>
            <w:tcW w:w="825"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369</w:t>
            </w:r>
          </w:p>
        </w:tc>
        <w:tc>
          <w:tcPr>
            <w:tcW w:w="644"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7,6</w:t>
            </w:r>
          </w:p>
        </w:tc>
        <w:tc>
          <w:tcPr>
            <w:tcW w:w="952"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143,0</w:t>
            </w:r>
          </w:p>
        </w:tc>
        <w:tc>
          <w:tcPr>
            <w:tcW w:w="616"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55,0</w:t>
            </w:r>
          </w:p>
        </w:tc>
        <w:tc>
          <w:tcPr>
            <w:tcW w:w="826"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4,5</w:t>
            </w:r>
          </w:p>
        </w:tc>
      </w:tr>
      <w:tr w:rsidR="00D560F6" w:rsidTr="00B40A59">
        <w:tc>
          <w:tcPr>
            <w:tcW w:w="1592" w:type="dxa"/>
            <w:shd w:val="clear" w:color="auto" w:fill="D9D9D9" w:themeFill="background1" w:themeFillShade="D9"/>
          </w:tcPr>
          <w:p w:rsidR="00DE3154" w:rsidRPr="00DB02A5" w:rsidRDefault="00DE3154" w:rsidP="00452188">
            <w:pPr>
              <w:spacing w:line="0" w:lineRule="atLeast"/>
              <w:jc w:val="both"/>
              <w:rPr>
                <w:rFonts w:ascii="Garamond" w:hAnsi="Garamond"/>
                <w:sz w:val="18"/>
                <w:szCs w:val="18"/>
              </w:rPr>
            </w:pPr>
            <w:r w:rsidRPr="00DB02A5">
              <w:rPr>
                <w:rFonts w:ascii="Garamond" w:hAnsi="Garamond"/>
                <w:sz w:val="18"/>
                <w:szCs w:val="18"/>
              </w:rPr>
              <w:t xml:space="preserve">Krokowa </w:t>
            </w:r>
          </w:p>
        </w:tc>
        <w:tc>
          <w:tcPr>
            <w:tcW w:w="854"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2 043</w:t>
            </w:r>
          </w:p>
        </w:tc>
        <w:tc>
          <w:tcPr>
            <w:tcW w:w="630"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12,7</w:t>
            </w:r>
          </w:p>
        </w:tc>
        <w:tc>
          <w:tcPr>
            <w:tcW w:w="938"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107,1</w:t>
            </w:r>
          </w:p>
        </w:tc>
        <w:tc>
          <w:tcPr>
            <w:tcW w:w="630"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49,7</w:t>
            </w:r>
          </w:p>
        </w:tc>
        <w:tc>
          <w:tcPr>
            <w:tcW w:w="812" w:type="dxa"/>
            <w:shd w:val="clear" w:color="auto" w:fill="D9D9D9" w:themeFill="background1" w:themeFillShade="D9"/>
            <w:vAlign w:val="bottom"/>
          </w:tcPr>
          <w:p w:rsidR="00DE3154" w:rsidRPr="00DE3154" w:rsidRDefault="00DE3154">
            <w:pPr>
              <w:jc w:val="right"/>
              <w:rPr>
                <w:rFonts w:ascii="Garamond" w:hAnsi="Garamond" w:cs="Arial"/>
                <w:sz w:val="18"/>
                <w:szCs w:val="18"/>
              </w:rPr>
            </w:pPr>
            <w:r w:rsidRPr="00DE3154">
              <w:rPr>
                <w:rFonts w:ascii="Garamond" w:hAnsi="Garamond" w:cs="Arial"/>
                <w:sz w:val="18"/>
                <w:szCs w:val="18"/>
              </w:rPr>
              <w:t>28,5</w:t>
            </w:r>
          </w:p>
        </w:tc>
        <w:tc>
          <w:tcPr>
            <w:tcW w:w="825"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535</w:t>
            </w:r>
          </w:p>
        </w:tc>
        <w:tc>
          <w:tcPr>
            <w:tcW w:w="644"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11,0</w:t>
            </w:r>
          </w:p>
        </w:tc>
        <w:tc>
          <w:tcPr>
            <w:tcW w:w="952"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140,4</w:t>
            </w:r>
          </w:p>
        </w:tc>
        <w:tc>
          <w:tcPr>
            <w:tcW w:w="616"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48,8</w:t>
            </w:r>
          </w:p>
        </w:tc>
        <w:tc>
          <w:tcPr>
            <w:tcW w:w="826"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7,5</w:t>
            </w:r>
          </w:p>
        </w:tc>
      </w:tr>
      <w:tr w:rsidR="00B40A59" w:rsidTr="00B40A59">
        <w:tc>
          <w:tcPr>
            <w:tcW w:w="1592" w:type="dxa"/>
          </w:tcPr>
          <w:p w:rsidR="00DE3154" w:rsidRPr="00DB02A5" w:rsidRDefault="00DE3154" w:rsidP="00452188">
            <w:pPr>
              <w:spacing w:line="0" w:lineRule="atLeast"/>
              <w:jc w:val="both"/>
              <w:rPr>
                <w:rFonts w:ascii="Garamond" w:hAnsi="Garamond"/>
                <w:sz w:val="18"/>
                <w:szCs w:val="18"/>
              </w:rPr>
            </w:pPr>
            <w:r w:rsidRPr="00DB02A5">
              <w:rPr>
                <w:rFonts w:ascii="Garamond" w:hAnsi="Garamond"/>
                <w:sz w:val="18"/>
                <w:szCs w:val="18"/>
              </w:rPr>
              <w:t>Puck</w:t>
            </w:r>
          </w:p>
        </w:tc>
        <w:tc>
          <w:tcPr>
            <w:tcW w:w="854"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2 700</w:t>
            </w:r>
          </w:p>
        </w:tc>
        <w:tc>
          <w:tcPr>
            <w:tcW w:w="630"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16,8</w:t>
            </w:r>
          </w:p>
        </w:tc>
        <w:tc>
          <w:tcPr>
            <w:tcW w:w="938"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112,8</w:t>
            </w:r>
          </w:p>
        </w:tc>
        <w:tc>
          <w:tcPr>
            <w:tcW w:w="630"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46,4</w:t>
            </w:r>
          </w:p>
        </w:tc>
        <w:tc>
          <w:tcPr>
            <w:tcW w:w="812" w:type="dxa"/>
            <w:vAlign w:val="bottom"/>
          </w:tcPr>
          <w:p w:rsidR="00DE3154" w:rsidRPr="00DE3154" w:rsidRDefault="00DE3154">
            <w:pPr>
              <w:jc w:val="right"/>
              <w:rPr>
                <w:rFonts w:ascii="Garamond" w:hAnsi="Garamond" w:cs="Arial"/>
                <w:sz w:val="18"/>
                <w:szCs w:val="18"/>
              </w:rPr>
            </w:pPr>
            <w:r w:rsidRPr="00DE3154">
              <w:rPr>
                <w:rFonts w:ascii="Garamond" w:hAnsi="Garamond" w:cs="Arial"/>
                <w:sz w:val="18"/>
                <w:szCs w:val="18"/>
              </w:rPr>
              <w:t>16,0</w:t>
            </w:r>
          </w:p>
        </w:tc>
        <w:tc>
          <w:tcPr>
            <w:tcW w:w="825"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w:t>
            </w:r>
            <w:r w:rsidR="00E967DE">
              <w:rPr>
                <w:rFonts w:ascii="Garamond" w:hAnsi="Garamond" w:cs="Arial"/>
                <w:sz w:val="18"/>
                <w:szCs w:val="18"/>
              </w:rPr>
              <w:t xml:space="preserve"> </w:t>
            </w:r>
            <w:r w:rsidRPr="00DB02A5">
              <w:rPr>
                <w:rFonts w:ascii="Garamond" w:hAnsi="Garamond" w:cs="Arial"/>
                <w:sz w:val="18"/>
                <w:szCs w:val="18"/>
              </w:rPr>
              <w:t>109</w:t>
            </w:r>
          </w:p>
        </w:tc>
        <w:tc>
          <w:tcPr>
            <w:tcW w:w="644"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22,8</w:t>
            </w:r>
          </w:p>
        </w:tc>
        <w:tc>
          <w:tcPr>
            <w:tcW w:w="952"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119,6</w:t>
            </w:r>
          </w:p>
        </w:tc>
        <w:tc>
          <w:tcPr>
            <w:tcW w:w="616"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49,7</w:t>
            </w:r>
          </w:p>
        </w:tc>
        <w:tc>
          <w:tcPr>
            <w:tcW w:w="826" w:type="dxa"/>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6,6</w:t>
            </w:r>
          </w:p>
        </w:tc>
      </w:tr>
      <w:tr w:rsidR="00D560F6" w:rsidTr="00B40A59">
        <w:tc>
          <w:tcPr>
            <w:tcW w:w="1592" w:type="dxa"/>
            <w:shd w:val="clear" w:color="auto" w:fill="D9D9D9" w:themeFill="background1" w:themeFillShade="D9"/>
          </w:tcPr>
          <w:p w:rsidR="00DE3154" w:rsidRPr="00DB02A5" w:rsidRDefault="00DE3154" w:rsidP="00452188">
            <w:pPr>
              <w:spacing w:line="0" w:lineRule="atLeast"/>
              <w:jc w:val="both"/>
              <w:rPr>
                <w:rFonts w:ascii="Garamond" w:hAnsi="Garamond"/>
                <w:sz w:val="18"/>
                <w:szCs w:val="18"/>
              </w:rPr>
            </w:pPr>
            <w:r w:rsidRPr="00DB02A5">
              <w:rPr>
                <w:rFonts w:ascii="Garamond" w:hAnsi="Garamond"/>
                <w:sz w:val="18"/>
                <w:szCs w:val="18"/>
              </w:rPr>
              <w:t xml:space="preserve">Wejherowo </w:t>
            </w:r>
          </w:p>
        </w:tc>
        <w:tc>
          <w:tcPr>
            <w:tcW w:w="854"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3 700</w:t>
            </w:r>
          </w:p>
        </w:tc>
        <w:tc>
          <w:tcPr>
            <w:tcW w:w="630"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23,1</w:t>
            </w:r>
          </w:p>
        </w:tc>
        <w:tc>
          <w:tcPr>
            <w:tcW w:w="938"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99,6</w:t>
            </w:r>
          </w:p>
        </w:tc>
        <w:tc>
          <w:tcPr>
            <w:tcW w:w="630"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39,6</w:t>
            </w:r>
          </w:p>
        </w:tc>
        <w:tc>
          <w:tcPr>
            <w:tcW w:w="812" w:type="dxa"/>
            <w:shd w:val="clear" w:color="auto" w:fill="D9D9D9" w:themeFill="background1" w:themeFillShade="D9"/>
            <w:vAlign w:val="bottom"/>
          </w:tcPr>
          <w:p w:rsidR="00DE3154" w:rsidRPr="00DE3154" w:rsidRDefault="00DE3154">
            <w:pPr>
              <w:jc w:val="right"/>
              <w:rPr>
                <w:rFonts w:ascii="Garamond" w:hAnsi="Garamond" w:cs="Arial"/>
                <w:sz w:val="18"/>
                <w:szCs w:val="18"/>
              </w:rPr>
            </w:pPr>
            <w:r w:rsidRPr="00DE3154">
              <w:rPr>
                <w:rFonts w:ascii="Garamond" w:hAnsi="Garamond" w:cs="Arial"/>
                <w:sz w:val="18"/>
                <w:szCs w:val="18"/>
              </w:rPr>
              <w:t>23,6</w:t>
            </w:r>
          </w:p>
        </w:tc>
        <w:tc>
          <w:tcPr>
            <w:tcW w:w="825"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1</w:t>
            </w:r>
            <w:r w:rsidR="00E967DE">
              <w:rPr>
                <w:rFonts w:ascii="Garamond" w:hAnsi="Garamond" w:cs="Arial"/>
                <w:sz w:val="18"/>
                <w:szCs w:val="18"/>
              </w:rPr>
              <w:t xml:space="preserve"> </w:t>
            </w:r>
            <w:r w:rsidRPr="00DB02A5">
              <w:rPr>
                <w:rFonts w:ascii="Garamond" w:hAnsi="Garamond" w:cs="Arial"/>
                <w:sz w:val="18"/>
                <w:szCs w:val="18"/>
              </w:rPr>
              <w:t>142</w:t>
            </w:r>
          </w:p>
        </w:tc>
        <w:tc>
          <w:tcPr>
            <w:tcW w:w="644"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23,5</w:t>
            </w:r>
          </w:p>
        </w:tc>
        <w:tc>
          <w:tcPr>
            <w:tcW w:w="952"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244,5</w:t>
            </w:r>
          </w:p>
        </w:tc>
        <w:tc>
          <w:tcPr>
            <w:tcW w:w="616"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59,8</w:t>
            </w:r>
          </w:p>
        </w:tc>
        <w:tc>
          <w:tcPr>
            <w:tcW w:w="826" w:type="dxa"/>
            <w:shd w:val="clear" w:color="auto" w:fill="D9D9D9" w:themeFill="background1" w:themeFillShade="D9"/>
            <w:vAlign w:val="bottom"/>
          </w:tcPr>
          <w:p w:rsidR="00DE3154" w:rsidRPr="00DB02A5" w:rsidRDefault="00DE3154" w:rsidP="00DC3BA6">
            <w:pPr>
              <w:jc w:val="right"/>
              <w:rPr>
                <w:rFonts w:ascii="Garamond" w:hAnsi="Garamond" w:cs="Arial"/>
                <w:sz w:val="18"/>
                <w:szCs w:val="18"/>
              </w:rPr>
            </w:pPr>
            <w:r w:rsidRPr="00DB02A5">
              <w:rPr>
                <w:rFonts w:ascii="Garamond" w:hAnsi="Garamond" w:cs="Arial"/>
                <w:sz w:val="18"/>
                <w:szCs w:val="18"/>
              </w:rPr>
              <w:t>7,3</w:t>
            </w:r>
          </w:p>
        </w:tc>
      </w:tr>
      <w:tr w:rsidR="00D560F6" w:rsidTr="00B40A59">
        <w:tc>
          <w:tcPr>
            <w:tcW w:w="1592" w:type="dxa"/>
            <w:shd w:val="clear" w:color="auto" w:fill="CCC0D9" w:themeFill="accent4" w:themeFillTint="66"/>
          </w:tcPr>
          <w:p w:rsidR="00DE3154" w:rsidRPr="00DB02A5" w:rsidRDefault="00DE3154" w:rsidP="00452188">
            <w:pPr>
              <w:spacing w:line="0" w:lineRule="atLeast"/>
              <w:jc w:val="both"/>
              <w:rPr>
                <w:rFonts w:ascii="Garamond" w:hAnsi="Garamond"/>
                <w:b/>
                <w:sz w:val="18"/>
                <w:szCs w:val="18"/>
              </w:rPr>
            </w:pPr>
            <w:r w:rsidRPr="00DB02A5">
              <w:rPr>
                <w:rFonts w:ascii="Garamond" w:hAnsi="Garamond"/>
                <w:b/>
                <w:sz w:val="18"/>
                <w:szCs w:val="18"/>
              </w:rPr>
              <w:t>PLGR</w:t>
            </w:r>
          </w:p>
        </w:tc>
        <w:tc>
          <w:tcPr>
            <w:tcW w:w="854" w:type="dxa"/>
            <w:shd w:val="clear" w:color="auto" w:fill="CCC0D9" w:themeFill="accent4" w:themeFillTint="66"/>
          </w:tcPr>
          <w:p w:rsidR="00DE3154" w:rsidRPr="00DB02A5" w:rsidRDefault="00DE3154" w:rsidP="00DC3BA6">
            <w:pPr>
              <w:spacing w:line="0" w:lineRule="atLeast"/>
              <w:jc w:val="right"/>
              <w:rPr>
                <w:rFonts w:ascii="Garamond" w:hAnsi="Garamond"/>
                <w:b/>
                <w:sz w:val="18"/>
                <w:szCs w:val="18"/>
              </w:rPr>
            </w:pPr>
            <w:r w:rsidRPr="00DB02A5">
              <w:rPr>
                <w:rFonts w:ascii="Garamond" w:hAnsi="Garamond"/>
                <w:b/>
                <w:sz w:val="18"/>
                <w:szCs w:val="18"/>
              </w:rPr>
              <w:t>16 045</w:t>
            </w:r>
          </w:p>
        </w:tc>
        <w:tc>
          <w:tcPr>
            <w:tcW w:w="630" w:type="dxa"/>
            <w:shd w:val="clear" w:color="auto" w:fill="CCC0D9" w:themeFill="accent4" w:themeFillTint="66"/>
          </w:tcPr>
          <w:p w:rsidR="00DE3154" w:rsidRPr="00DB02A5" w:rsidRDefault="00DE3154" w:rsidP="00DC3BA6">
            <w:pPr>
              <w:spacing w:line="0" w:lineRule="atLeast"/>
              <w:jc w:val="right"/>
              <w:rPr>
                <w:rFonts w:ascii="Garamond" w:hAnsi="Garamond"/>
                <w:b/>
                <w:sz w:val="18"/>
                <w:szCs w:val="18"/>
              </w:rPr>
            </w:pPr>
            <w:r w:rsidRPr="00DB02A5">
              <w:rPr>
                <w:rFonts w:ascii="Garamond" w:hAnsi="Garamond"/>
                <w:b/>
                <w:sz w:val="18"/>
                <w:szCs w:val="18"/>
              </w:rPr>
              <w:t>100,0</w:t>
            </w:r>
          </w:p>
        </w:tc>
        <w:tc>
          <w:tcPr>
            <w:tcW w:w="938" w:type="dxa"/>
            <w:shd w:val="clear" w:color="auto" w:fill="CCC0D9" w:themeFill="accent4" w:themeFillTint="66"/>
          </w:tcPr>
          <w:p w:rsidR="00DE3154" w:rsidRPr="00DB02A5" w:rsidRDefault="00DE3154" w:rsidP="00DC3BA6">
            <w:pPr>
              <w:spacing w:line="0" w:lineRule="atLeast"/>
              <w:jc w:val="right"/>
              <w:rPr>
                <w:rFonts w:ascii="Garamond" w:hAnsi="Garamond"/>
                <w:b/>
                <w:sz w:val="18"/>
                <w:szCs w:val="18"/>
              </w:rPr>
            </w:pPr>
            <w:r w:rsidRPr="00DB02A5">
              <w:rPr>
                <w:rFonts w:ascii="Garamond" w:hAnsi="Garamond"/>
                <w:b/>
                <w:sz w:val="18"/>
                <w:szCs w:val="18"/>
              </w:rPr>
              <w:t>104,5</w:t>
            </w:r>
          </w:p>
        </w:tc>
        <w:tc>
          <w:tcPr>
            <w:tcW w:w="630" w:type="dxa"/>
            <w:shd w:val="clear" w:color="auto" w:fill="CCC0D9" w:themeFill="accent4" w:themeFillTint="66"/>
          </w:tcPr>
          <w:p w:rsidR="00DE3154" w:rsidRPr="00DB02A5" w:rsidRDefault="00DE3154" w:rsidP="00DC3BA6">
            <w:pPr>
              <w:spacing w:line="0" w:lineRule="atLeast"/>
              <w:jc w:val="right"/>
              <w:rPr>
                <w:rFonts w:ascii="Garamond" w:hAnsi="Garamond"/>
                <w:b/>
                <w:sz w:val="18"/>
                <w:szCs w:val="18"/>
              </w:rPr>
            </w:pPr>
            <w:r w:rsidRPr="00DB02A5">
              <w:rPr>
                <w:rFonts w:ascii="Garamond" w:hAnsi="Garamond"/>
                <w:b/>
                <w:sz w:val="18"/>
                <w:szCs w:val="18"/>
              </w:rPr>
              <w:t>48,8</w:t>
            </w:r>
          </w:p>
        </w:tc>
        <w:tc>
          <w:tcPr>
            <w:tcW w:w="812" w:type="dxa"/>
            <w:shd w:val="clear" w:color="auto" w:fill="CCC0D9" w:themeFill="accent4" w:themeFillTint="66"/>
            <w:vAlign w:val="bottom"/>
          </w:tcPr>
          <w:p w:rsidR="00DE3154" w:rsidRPr="00DE3154" w:rsidRDefault="00DE3154">
            <w:pPr>
              <w:jc w:val="right"/>
              <w:rPr>
                <w:rFonts w:ascii="Garamond" w:hAnsi="Garamond" w:cs="Arial"/>
                <w:sz w:val="18"/>
                <w:szCs w:val="18"/>
              </w:rPr>
            </w:pPr>
            <w:r w:rsidRPr="00DE3154">
              <w:rPr>
                <w:rFonts w:ascii="Garamond" w:hAnsi="Garamond" w:cs="Arial"/>
                <w:sz w:val="18"/>
                <w:szCs w:val="18"/>
              </w:rPr>
              <w:t>22,7</w:t>
            </w:r>
          </w:p>
        </w:tc>
        <w:tc>
          <w:tcPr>
            <w:tcW w:w="825" w:type="dxa"/>
            <w:shd w:val="clear" w:color="auto" w:fill="CCC0D9" w:themeFill="accent4" w:themeFillTint="66"/>
            <w:vAlign w:val="bottom"/>
          </w:tcPr>
          <w:p w:rsidR="00DE3154" w:rsidRPr="00DB02A5" w:rsidRDefault="00DE3154" w:rsidP="00DC3BA6">
            <w:pPr>
              <w:jc w:val="right"/>
              <w:rPr>
                <w:rFonts w:ascii="Garamond" w:hAnsi="Garamond" w:cs="Arial"/>
                <w:b/>
                <w:sz w:val="18"/>
                <w:szCs w:val="18"/>
              </w:rPr>
            </w:pPr>
            <w:r w:rsidRPr="00DB02A5">
              <w:rPr>
                <w:rFonts w:ascii="Garamond" w:hAnsi="Garamond" w:cs="Arial"/>
                <w:b/>
                <w:sz w:val="18"/>
                <w:szCs w:val="18"/>
              </w:rPr>
              <w:t>4</w:t>
            </w:r>
            <w:r w:rsidR="00E967DE">
              <w:rPr>
                <w:rFonts w:ascii="Garamond" w:hAnsi="Garamond" w:cs="Arial"/>
                <w:b/>
                <w:sz w:val="18"/>
                <w:szCs w:val="18"/>
              </w:rPr>
              <w:t xml:space="preserve"> </w:t>
            </w:r>
            <w:r w:rsidRPr="00DB02A5">
              <w:rPr>
                <w:rFonts w:ascii="Garamond" w:hAnsi="Garamond" w:cs="Arial"/>
                <w:b/>
                <w:sz w:val="18"/>
                <w:szCs w:val="18"/>
              </w:rPr>
              <w:t>855</w:t>
            </w:r>
          </w:p>
        </w:tc>
        <w:tc>
          <w:tcPr>
            <w:tcW w:w="644" w:type="dxa"/>
            <w:shd w:val="clear" w:color="auto" w:fill="CCC0D9" w:themeFill="accent4" w:themeFillTint="66"/>
            <w:vAlign w:val="bottom"/>
          </w:tcPr>
          <w:p w:rsidR="00DE3154" w:rsidRPr="00DB02A5" w:rsidRDefault="00DE3154" w:rsidP="00DC3BA6">
            <w:pPr>
              <w:jc w:val="right"/>
              <w:rPr>
                <w:rFonts w:ascii="Garamond" w:hAnsi="Garamond" w:cs="Arial"/>
                <w:b/>
                <w:sz w:val="18"/>
                <w:szCs w:val="18"/>
              </w:rPr>
            </w:pPr>
            <w:r w:rsidRPr="00DB02A5">
              <w:rPr>
                <w:rFonts w:ascii="Garamond" w:hAnsi="Garamond" w:cs="Arial"/>
                <w:b/>
                <w:sz w:val="18"/>
                <w:szCs w:val="18"/>
              </w:rPr>
              <w:t>100,0</w:t>
            </w:r>
          </w:p>
        </w:tc>
        <w:tc>
          <w:tcPr>
            <w:tcW w:w="952" w:type="dxa"/>
            <w:shd w:val="clear" w:color="auto" w:fill="CCC0D9" w:themeFill="accent4" w:themeFillTint="66"/>
            <w:vAlign w:val="bottom"/>
          </w:tcPr>
          <w:p w:rsidR="00DE3154" w:rsidRPr="00DB02A5" w:rsidRDefault="00DE3154" w:rsidP="00DC3BA6">
            <w:pPr>
              <w:jc w:val="right"/>
              <w:rPr>
                <w:rFonts w:ascii="Garamond" w:hAnsi="Garamond" w:cs="Arial"/>
                <w:b/>
                <w:sz w:val="18"/>
                <w:szCs w:val="18"/>
              </w:rPr>
            </w:pPr>
            <w:r w:rsidRPr="00DB02A5">
              <w:rPr>
                <w:rFonts w:ascii="Garamond" w:hAnsi="Garamond" w:cs="Arial"/>
                <w:b/>
                <w:sz w:val="18"/>
                <w:szCs w:val="18"/>
              </w:rPr>
              <w:t>140,4</w:t>
            </w:r>
          </w:p>
        </w:tc>
        <w:tc>
          <w:tcPr>
            <w:tcW w:w="616" w:type="dxa"/>
            <w:shd w:val="clear" w:color="auto" w:fill="CCC0D9" w:themeFill="accent4" w:themeFillTint="66"/>
            <w:vAlign w:val="bottom"/>
          </w:tcPr>
          <w:p w:rsidR="00DE3154" w:rsidRPr="00DB02A5" w:rsidRDefault="00DE3154" w:rsidP="00DC3BA6">
            <w:pPr>
              <w:jc w:val="right"/>
              <w:rPr>
                <w:rFonts w:ascii="Garamond" w:hAnsi="Garamond" w:cs="Arial"/>
                <w:b/>
                <w:sz w:val="18"/>
                <w:szCs w:val="18"/>
              </w:rPr>
            </w:pPr>
            <w:r w:rsidRPr="00DB02A5">
              <w:rPr>
                <w:rFonts w:ascii="Garamond" w:hAnsi="Garamond" w:cs="Arial"/>
                <w:b/>
                <w:sz w:val="18"/>
                <w:szCs w:val="18"/>
              </w:rPr>
              <w:t>52,3</w:t>
            </w:r>
          </w:p>
        </w:tc>
        <w:tc>
          <w:tcPr>
            <w:tcW w:w="826" w:type="dxa"/>
            <w:shd w:val="clear" w:color="auto" w:fill="CCC0D9" w:themeFill="accent4" w:themeFillTint="66"/>
            <w:vAlign w:val="bottom"/>
          </w:tcPr>
          <w:p w:rsidR="00DE3154" w:rsidRPr="00DB02A5" w:rsidRDefault="00DE3154" w:rsidP="00DC3BA6">
            <w:pPr>
              <w:jc w:val="right"/>
              <w:rPr>
                <w:rFonts w:ascii="Garamond" w:hAnsi="Garamond" w:cs="Arial"/>
                <w:b/>
                <w:sz w:val="18"/>
                <w:szCs w:val="18"/>
              </w:rPr>
            </w:pPr>
            <w:r w:rsidRPr="00DB02A5">
              <w:rPr>
                <w:rFonts w:ascii="Garamond" w:hAnsi="Garamond" w:cs="Arial"/>
                <w:b/>
                <w:sz w:val="18"/>
                <w:szCs w:val="18"/>
              </w:rPr>
              <w:t>6,9</w:t>
            </w:r>
          </w:p>
        </w:tc>
      </w:tr>
      <w:tr w:rsidR="00D560F6" w:rsidTr="00B40A59">
        <w:tc>
          <w:tcPr>
            <w:tcW w:w="1592" w:type="dxa"/>
            <w:shd w:val="clear" w:color="auto" w:fill="F2F2F2" w:themeFill="background1" w:themeFillShade="F2"/>
          </w:tcPr>
          <w:p w:rsidR="00700919" w:rsidRPr="00700919" w:rsidRDefault="00700919" w:rsidP="00700919">
            <w:pPr>
              <w:spacing w:line="0" w:lineRule="atLeast"/>
              <w:rPr>
                <w:rFonts w:ascii="Garamond" w:hAnsi="Garamond"/>
                <w:sz w:val="18"/>
                <w:szCs w:val="18"/>
              </w:rPr>
            </w:pPr>
            <w:r w:rsidRPr="00700919">
              <w:rPr>
                <w:rFonts w:ascii="Garamond" w:hAnsi="Garamond"/>
                <w:sz w:val="18"/>
                <w:szCs w:val="18"/>
              </w:rPr>
              <w:t>Województwo pomorskie</w:t>
            </w:r>
          </w:p>
        </w:tc>
        <w:tc>
          <w:tcPr>
            <w:tcW w:w="854" w:type="dxa"/>
            <w:shd w:val="clear" w:color="auto" w:fill="F2F2F2" w:themeFill="background1" w:themeFillShade="F2"/>
            <w:vAlign w:val="center"/>
          </w:tcPr>
          <w:p w:rsidR="00700919" w:rsidRPr="00700919" w:rsidRDefault="00700919" w:rsidP="00700919">
            <w:pPr>
              <w:jc w:val="right"/>
              <w:rPr>
                <w:rFonts w:ascii="Garamond" w:hAnsi="Garamond" w:cs="Arial"/>
                <w:sz w:val="18"/>
                <w:szCs w:val="18"/>
              </w:rPr>
            </w:pPr>
            <w:r w:rsidRPr="00700919">
              <w:rPr>
                <w:rFonts w:ascii="Garamond" w:hAnsi="Garamond" w:cs="Arial"/>
                <w:sz w:val="18"/>
                <w:szCs w:val="18"/>
              </w:rPr>
              <w:t>507</w:t>
            </w:r>
            <w:r>
              <w:rPr>
                <w:rFonts w:ascii="Garamond" w:hAnsi="Garamond" w:cs="Arial"/>
                <w:sz w:val="18"/>
                <w:szCs w:val="18"/>
              </w:rPr>
              <w:t xml:space="preserve"> </w:t>
            </w:r>
            <w:r w:rsidRPr="00700919">
              <w:rPr>
                <w:rFonts w:ascii="Garamond" w:hAnsi="Garamond" w:cs="Arial"/>
                <w:sz w:val="18"/>
                <w:szCs w:val="18"/>
              </w:rPr>
              <w:t>251</w:t>
            </w:r>
          </w:p>
        </w:tc>
        <w:tc>
          <w:tcPr>
            <w:tcW w:w="630" w:type="dxa"/>
            <w:shd w:val="clear" w:color="auto" w:fill="F2F2F2" w:themeFill="background1" w:themeFillShade="F2"/>
            <w:vAlign w:val="center"/>
          </w:tcPr>
          <w:p w:rsidR="00700919" w:rsidRPr="00700919" w:rsidRDefault="00700919" w:rsidP="00700919">
            <w:pPr>
              <w:spacing w:line="0" w:lineRule="atLeast"/>
              <w:jc w:val="right"/>
              <w:rPr>
                <w:rFonts w:ascii="Garamond" w:hAnsi="Garamond"/>
                <w:sz w:val="18"/>
                <w:szCs w:val="18"/>
              </w:rPr>
            </w:pPr>
            <w:r w:rsidRPr="00700919">
              <w:rPr>
                <w:rFonts w:ascii="Garamond" w:hAnsi="Garamond"/>
                <w:sz w:val="18"/>
                <w:szCs w:val="18"/>
              </w:rPr>
              <w:t>-</w:t>
            </w:r>
          </w:p>
        </w:tc>
        <w:tc>
          <w:tcPr>
            <w:tcW w:w="938" w:type="dxa"/>
            <w:shd w:val="clear" w:color="auto" w:fill="F2F2F2" w:themeFill="background1" w:themeFillShade="F2"/>
            <w:vAlign w:val="center"/>
          </w:tcPr>
          <w:p w:rsidR="00700919" w:rsidRPr="00700919" w:rsidRDefault="00700919" w:rsidP="00700919">
            <w:pPr>
              <w:jc w:val="right"/>
              <w:rPr>
                <w:rFonts w:ascii="Garamond" w:hAnsi="Garamond" w:cs="Arial"/>
                <w:sz w:val="18"/>
                <w:szCs w:val="18"/>
              </w:rPr>
            </w:pPr>
            <w:r w:rsidRPr="00700919">
              <w:rPr>
                <w:rFonts w:ascii="Garamond" w:hAnsi="Garamond" w:cs="Arial"/>
                <w:sz w:val="18"/>
                <w:szCs w:val="18"/>
              </w:rPr>
              <w:t>105,3</w:t>
            </w:r>
          </w:p>
        </w:tc>
        <w:tc>
          <w:tcPr>
            <w:tcW w:w="630" w:type="dxa"/>
            <w:shd w:val="clear" w:color="auto" w:fill="F2F2F2" w:themeFill="background1" w:themeFillShade="F2"/>
            <w:vAlign w:val="center"/>
          </w:tcPr>
          <w:p w:rsidR="00700919" w:rsidRPr="00700919" w:rsidRDefault="00700919" w:rsidP="00700919">
            <w:pPr>
              <w:jc w:val="right"/>
              <w:rPr>
                <w:rFonts w:ascii="Garamond" w:hAnsi="Garamond" w:cs="Arial"/>
                <w:sz w:val="18"/>
                <w:szCs w:val="18"/>
              </w:rPr>
            </w:pPr>
            <w:r w:rsidRPr="00700919">
              <w:rPr>
                <w:rFonts w:ascii="Garamond" w:hAnsi="Garamond" w:cs="Arial"/>
                <w:sz w:val="18"/>
                <w:szCs w:val="18"/>
              </w:rPr>
              <w:t>50,7</w:t>
            </w:r>
          </w:p>
        </w:tc>
        <w:tc>
          <w:tcPr>
            <w:tcW w:w="812" w:type="dxa"/>
            <w:shd w:val="clear" w:color="auto" w:fill="F2F2F2" w:themeFill="background1" w:themeFillShade="F2"/>
            <w:vAlign w:val="center"/>
          </w:tcPr>
          <w:p w:rsidR="00700919" w:rsidRPr="00700919" w:rsidRDefault="00700919" w:rsidP="00700919">
            <w:pPr>
              <w:jc w:val="right"/>
              <w:rPr>
                <w:rFonts w:ascii="Garamond" w:hAnsi="Garamond" w:cs="Arial"/>
                <w:sz w:val="18"/>
                <w:szCs w:val="18"/>
              </w:rPr>
            </w:pPr>
            <w:r w:rsidRPr="00700919">
              <w:rPr>
                <w:rFonts w:ascii="Garamond" w:hAnsi="Garamond" w:cs="Arial"/>
                <w:sz w:val="18"/>
                <w:szCs w:val="18"/>
              </w:rPr>
              <w:t>33,2</w:t>
            </w:r>
          </w:p>
        </w:tc>
        <w:tc>
          <w:tcPr>
            <w:tcW w:w="825" w:type="dxa"/>
            <w:shd w:val="clear" w:color="auto" w:fill="F2F2F2" w:themeFill="background1" w:themeFillShade="F2"/>
            <w:vAlign w:val="center"/>
          </w:tcPr>
          <w:p w:rsidR="00700919" w:rsidRPr="00E967DE" w:rsidRDefault="00E967DE" w:rsidP="00E967DE">
            <w:pPr>
              <w:jc w:val="right"/>
              <w:rPr>
                <w:rFonts w:ascii="Garamond" w:hAnsi="Garamond" w:cs="Arial"/>
                <w:sz w:val="18"/>
                <w:szCs w:val="18"/>
              </w:rPr>
            </w:pPr>
            <w:r w:rsidRPr="00E967DE">
              <w:rPr>
                <w:rFonts w:ascii="Garamond" w:hAnsi="Garamond" w:cs="Arial"/>
                <w:sz w:val="18"/>
                <w:szCs w:val="18"/>
              </w:rPr>
              <w:t>114</w:t>
            </w:r>
            <w:r>
              <w:rPr>
                <w:rFonts w:ascii="Garamond" w:hAnsi="Garamond" w:cs="Arial"/>
                <w:sz w:val="18"/>
                <w:szCs w:val="18"/>
              </w:rPr>
              <w:t xml:space="preserve"> </w:t>
            </w:r>
            <w:r w:rsidRPr="00E967DE">
              <w:rPr>
                <w:rFonts w:ascii="Garamond" w:hAnsi="Garamond" w:cs="Arial"/>
                <w:sz w:val="18"/>
                <w:szCs w:val="18"/>
              </w:rPr>
              <w:t>148</w:t>
            </w:r>
          </w:p>
        </w:tc>
        <w:tc>
          <w:tcPr>
            <w:tcW w:w="644" w:type="dxa"/>
            <w:shd w:val="clear" w:color="auto" w:fill="F2F2F2" w:themeFill="background1" w:themeFillShade="F2"/>
            <w:vAlign w:val="center"/>
          </w:tcPr>
          <w:p w:rsidR="00700919" w:rsidRPr="00E967DE" w:rsidRDefault="00E967DE" w:rsidP="00E967DE">
            <w:pPr>
              <w:jc w:val="right"/>
              <w:rPr>
                <w:rFonts w:ascii="Garamond" w:hAnsi="Garamond" w:cs="Arial"/>
                <w:sz w:val="18"/>
                <w:szCs w:val="18"/>
              </w:rPr>
            </w:pPr>
            <w:r w:rsidRPr="00E967DE">
              <w:rPr>
                <w:rFonts w:ascii="Garamond" w:hAnsi="Garamond" w:cs="Arial"/>
                <w:sz w:val="18"/>
                <w:szCs w:val="18"/>
              </w:rPr>
              <w:t>-</w:t>
            </w:r>
          </w:p>
        </w:tc>
        <w:tc>
          <w:tcPr>
            <w:tcW w:w="952" w:type="dxa"/>
            <w:shd w:val="clear" w:color="auto" w:fill="F2F2F2" w:themeFill="background1" w:themeFillShade="F2"/>
            <w:vAlign w:val="center"/>
          </w:tcPr>
          <w:p w:rsidR="00700919" w:rsidRPr="00E967DE" w:rsidRDefault="00E967DE" w:rsidP="00E967DE">
            <w:pPr>
              <w:jc w:val="right"/>
              <w:rPr>
                <w:rFonts w:ascii="Garamond" w:hAnsi="Garamond" w:cs="Arial"/>
                <w:sz w:val="18"/>
                <w:szCs w:val="18"/>
              </w:rPr>
            </w:pPr>
            <w:r w:rsidRPr="00E967DE">
              <w:rPr>
                <w:rFonts w:ascii="Garamond" w:hAnsi="Garamond" w:cs="Arial"/>
                <w:sz w:val="18"/>
                <w:szCs w:val="18"/>
              </w:rPr>
              <w:t>131,3</w:t>
            </w:r>
          </w:p>
        </w:tc>
        <w:tc>
          <w:tcPr>
            <w:tcW w:w="616" w:type="dxa"/>
            <w:shd w:val="clear" w:color="auto" w:fill="F2F2F2" w:themeFill="background1" w:themeFillShade="F2"/>
            <w:vAlign w:val="center"/>
          </w:tcPr>
          <w:p w:rsidR="00700919" w:rsidRPr="00E967DE" w:rsidRDefault="00E967DE" w:rsidP="00E967DE">
            <w:pPr>
              <w:jc w:val="right"/>
              <w:rPr>
                <w:rFonts w:ascii="Garamond" w:hAnsi="Garamond" w:cs="Arial"/>
                <w:sz w:val="18"/>
                <w:szCs w:val="18"/>
              </w:rPr>
            </w:pPr>
            <w:r w:rsidRPr="00E967DE">
              <w:rPr>
                <w:rFonts w:ascii="Garamond" w:hAnsi="Garamond" w:cs="Arial"/>
                <w:sz w:val="18"/>
                <w:szCs w:val="18"/>
              </w:rPr>
              <w:t>54,9</w:t>
            </w:r>
          </w:p>
        </w:tc>
        <w:tc>
          <w:tcPr>
            <w:tcW w:w="826" w:type="dxa"/>
            <w:shd w:val="clear" w:color="auto" w:fill="F2F2F2" w:themeFill="background1" w:themeFillShade="F2"/>
            <w:vAlign w:val="center"/>
          </w:tcPr>
          <w:p w:rsidR="00700919" w:rsidRPr="00E967DE" w:rsidRDefault="00E967DE" w:rsidP="00E967DE">
            <w:pPr>
              <w:jc w:val="right"/>
              <w:rPr>
                <w:rFonts w:ascii="Garamond" w:hAnsi="Garamond" w:cs="Arial"/>
                <w:sz w:val="18"/>
                <w:szCs w:val="18"/>
              </w:rPr>
            </w:pPr>
            <w:r w:rsidRPr="00E967DE">
              <w:rPr>
                <w:rFonts w:ascii="Garamond" w:hAnsi="Garamond" w:cs="Arial"/>
                <w:sz w:val="18"/>
                <w:szCs w:val="18"/>
              </w:rPr>
              <w:t>7,5</w:t>
            </w:r>
          </w:p>
        </w:tc>
      </w:tr>
      <w:tr w:rsidR="00D560F6" w:rsidTr="00B40A59">
        <w:tc>
          <w:tcPr>
            <w:tcW w:w="1592" w:type="dxa"/>
            <w:shd w:val="clear" w:color="auto" w:fill="F2F2F2" w:themeFill="background1" w:themeFillShade="F2"/>
          </w:tcPr>
          <w:p w:rsidR="00700919" w:rsidRPr="00700919" w:rsidRDefault="00700919" w:rsidP="00700919">
            <w:pPr>
              <w:spacing w:line="0" w:lineRule="atLeast"/>
              <w:rPr>
                <w:rFonts w:ascii="Garamond" w:hAnsi="Garamond"/>
                <w:sz w:val="18"/>
                <w:szCs w:val="18"/>
              </w:rPr>
            </w:pPr>
            <w:r w:rsidRPr="00700919">
              <w:rPr>
                <w:rFonts w:ascii="Garamond" w:hAnsi="Garamond"/>
                <w:sz w:val="18"/>
                <w:szCs w:val="18"/>
              </w:rPr>
              <w:t>Polska</w:t>
            </w:r>
          </w:p>
        </w:tc>
        <w:tc>
          <w:tcPr>
            <w:tcW w:w="854" w:type="dxa"/>
            <w:shd w:val="clear" w:color="auto" w:fill="F2F2F2" w:themeFill="background1" w:themeFillShade="F2"/>
            <w:vAlign w:val="center"/>
          </w:tcPr>
          <w:p w:rsidR="00700919" w:rsidRPr="00700919" w:rsidRDefault="00700919" w:rsidP="00700919">
            <w:pPr>
              <w:jc w:val="right"/>
              <w:rPr>
                <w:rFonts w:ascii="Garamond" w:hAnsi="Garamond" w:cs="Arial"/>
                <w:sz w:val="18"/>
                <w:szCs w:val="18"/>
              </w:rPr>
            </w:pPr>
            <w:r w:rsidRPr="00700919">
              <w:rPr>
                <w:rFonts w:ascii="Garamond" w:hAnsi="Garamond" w:cs="Arial"/>
                <w:sz w:val="18"/>
                <w:szCs w:val="18"/>
              </w:rPr>
              <w:t>8</w:t>
            </w:r>
            <w:r>
              <w:rPr>
                <w:rFonts w:ascii="Garamond" w:hAnsi="Garamond" w:cs="Arial"/>
                <w:sz w:val="18"/>
                <w:szCs w:val="18"/>
              </w:rPr>
              <w:t> </w:t>
            </w:r>
            <w:r w:rsidRPr="00700919">
              <w:rPr>
                <w:rFonts w:ascii="Garamond" w:hAnsi="Garamond" w:cs="Arial"/>
                <w:sz w:val="18"/>
                <w:szCs w:val="18"/>
              </w:rPr>
              <w:t>681877</w:t>
            </w:r>
          </w:p>
        </w:tc>
        <w:tc>
          <w:tcPr>
            <w:tcW w:w="630" w:type="dxa"/>
            <w:shd w:val="clear" w:color="auto" w:fill="F2F2F2" w:themeFill="background1" w:themeFillShade="F2"/>
            <w:vAlign w:val="center"/>
          </w:tcPr>
          <w:p w:rsidR="00700919" w:rsidRPr="00700919" w:rsidRDefault="00700919" w:rsidP="00700919">
            <w:pPr>
              <w:spacing w:line="0" w:lineRule="atLeast"/>
              <w:jc w:val="right"/>
              <w:rPr>
                <w:rFonts w:ascii="Garamond" w:hAnsi="Garamond"/>
                <w:sz w:val="18"/>
                <w:szCs w:val="18"/>
              </w:rPr>
            </w:pPr>
            <w:r w:rsidRPr="00700919">
              <w:rPr>
                <w:rFonts w:ascii="Garamond" w:hAnsi="Garamond"/>
                <w:sz w:val="18"/>
                <w:szCs w:val="18"/>
              </w:rPr>
              <w:t>-</w:t>
            </w:r>
          </w:p>
        </w:tc>
        <w:tc>
          <w:tcPr>
            <w:tcW w:w="938" w:type="dxa"/>
            <w:shd w:val="clear" w:color="auto" w:fill="F2F2F2" w:themeFill="background1" w:themeFillShade="F2"/>
            <w:vAlign w:val="center"/>
          </w:tcPr>
          <w:p w:rsidR="00700919" w:rsidRPr="00700919" w:rsidRDefault="00700919" w:rsidP="00700919">
            <w:pPr>
              <w:jc w:val="right"/>
              <w:rPr>
                <w:rFonts w:ascii="Garamond" w:hAnsi="Garamond" w:cs="Arial"/>
                <w:sz w:val="18"/>
                <w:szCs w:val="18"/>
              </w:rPr>
            </w:pPr>
            <w:r w:rsidRPr="00700919">
              <w:rPr>
                <w:rFonts w:ascii="Garamond" w:hAnsi="Garamond" w:cs="Arial"/>
                <w:sz w:val="18"/>
                <w:szCs w:val="18"/>
              </w:rPr>
              <w:t>103,7</w:t>
            </w:r>
          </w:p>
        </w:tc>
        <w:tc>
          <w:tcPr>
            <w:tcW w:w="630" w:type="dxa"/>
            <w:shd w:val="clear" w:color="auto" w:fill="F2F2F2" w:themeFill="background1" w:themeFillShade="F2"/>
            <w:vAlign w:val="center"/>
          </w:tcPr>
          <w:p w:rsidR="00700919" w:rsidRPr="00700919" w:rsidRDefault="00700919" w:rsidP="00700919">
            <w:pPr>
              <w:jc w:val="right"/>
              <w:rPr>
                <w:rFonts w:ascii="Garamond" w:hAnsi="Garamond" w:cs="Arial"/>
                <w:sz w:val="18"/>
                <w:szCs w:val="18"/>
              </w:rPr>
            </w:pPr>
            <w:r w:rsidRPr="00700919">
              <w:rPr>
                <w:rFonts w:ascii="Garamond" w:hAnsi="Garamond" w:cs="Arial"/>
                <w:sz w:val="18"/>
                <w:szCs w:val="18"/>
              </w:rPr>
              <w:t>49,7</w:t>
            </w:r>
          </w:p>
        </w:tc>
        <w:tc>
          <w:tcPr>
            <w:tcW w:w="812" w:type="dxa"/>
            <w:shd w:val="clear" w:color="auto" w:fill="F2F2F2" w:themeFill="background1" w:themeFillShade="F2"/>
            <w:vAlign w:val="center"/>
          </w:tcPr>
          <w:p w:rsidR="00700919" w:rsidRPr="00700919" w:rsidRDefault="00700919" w:rsidP="00700919">
            <w:pPr>
              <w:jc w:val="right"/>
              <w:rPr>
                <w:rFonts w:ascii="Garamond" w:hAnsi="Garamond" w:cs="Arial"/>
                <w:sz w:val="18"/>
                <w:szCs w:val="18"/>
              </w:rPr>
            </w:pPr>
            <w:r w:rsidRPr="00700919">
              <w:rPr>
                <w:rFonts w:ascii="Garamond" w:hAnsi="Garamond" w:cs="Arial"/>
                <w:sz w:val="18"/>
                <w:szCs w:val="18"/>
              </w:rPr>
              <w:t>33,9</w:t>
            </w:r>
          </w:p>
        </w:tc>
        <w:tc>
          <w:tcPr>
            <w:tcW w:w="825" w:type="dxa"/>
            <w:shd w:val="clear" w:color="auto" w:fill="F2F2F2" w:themeFill="background1" w:themeFillShade="F2"/>
            <w:vAlign w:val="center"/>
          </w:tcPr>
          <w:p w:rsidR="00700919" w:rsidRPr="00E967DE" w:rsidRDefault="00E967DE" w:rsidP="00E967DE">
            <w:pPr>
              <w:jc w:val="right"/>
              <w:rPr>
                <w:rFonts w:ascii="Garamond" w:hAnsi="Garamond" w:cs="Arial"/>
                <w:sz w:val="18"/>
                <w:szCs w:val="18"/>
              </w:rPr>
            </w:pPr>
            <w:r w:rsidRPr="00E967DE">
              <w:rPr>
                <w:rFonts w:ascii="Garamond" w:hAnsi="Garamond" w:cs="Arial"/>
                <w:sz w:val="18"/>
                <w:szCs w:val="18"/>
              </w:rPr>
              <w:t>2157883</w:t>
            </w:r>
          </w:p>
        </w:tc>
        <w:tc>
          <w:tcPr>
            <w:tcW w:w="644" w:type="dxa"/>
            <w:shd w:val="clear" w:color="auto" w:fill="F2F2F2" w:themeFill="background1" w:themeFillShade="F2"/>
            <w:vAlign w:val="center"/>
          </w:tcPr>
          <w:p w:rsidR="00700919" w:rsidRPr="00E967DE" w:rsidRDefault="00E967DE" w:rsidP="00E967DE">
            <w:pPr>
              <w:jc w:val="right"/>
              <w:rPr>
                <w:rFonts w:ascii="Garamond" w:hAnsi="Garamond" w:cs="Arial"/>
                <w:sz w:val="18"/>
                <w:szCs w:val="18"/>
              </w:rPr>
            </w:pPr>
            <w:r w:rsidRPr="00E967DE">
              <w:rPr>
                <w:rFonts w:ascii="Garamond" w:hAnsi="Garamond" w:cs="Arial"/>
                <w:sz w:val="18"/>
                <w:szCs w:val="18"/>
              </w:rPr>
              <w:t>-</w:t>
            </w:r>
          </w:p>
        </w:tc>
        <w:tc>
          <w:tcPr>
            <w:tcW w:w="952" w:type="dxa"/>
            <w:shd w:val="clear" w:color="auto" w:fill="F2F2F2" w:themeFill="background1" w:themeFillShade="F2"/>
            <w:vAlign w:val="center"/>
          </w:tcPr>
          <w:p w:rsidR="00700919" w:rsidRPr="00E967DE" w:rsidRDefault="00E967DE" w:rsidP="00E967DE">
            <w:pPr>
              <w:jc w:val="right"/>
              <w:rPr>
                <w:rFonts w:ascii="Garamond" w:hAnsi="Garamond" w:cs="Arial"/>
                <w:sz w:val="18"/>
                <w:szCs w:val="18"/>
              </w:rPr>
            </w:pPr>
            <w:r w:rsidRPr="00E967DE">
              <w:rPr>
                <w:rFonts w:ascii="Garamond" w:hAnsi="Garamond" w:cs="Arial"/>
                <w:sz w:val="18"/>
                <w:szCs w:val="18"/>
              </w:rPr>
              <w:t>123,5</w:t>
            </w:r>
          </w:p>
        </w:tc>
        <w:tc>
          <w:tcPr>
            <w:tcW w:w="616" w:type="dxa"/>
            <w:shd w:val="clear" w:color="auto" w:fill="F2F2F2" w:themeFill="background1" w:themeFillShade="F2"/>
            <w:vAlign w:val="center"/>
          </w:tcPr>
          <w:p w:rsidR="00700919" w:rsidRPr="00E967DE" w:rsidRDefault="00E967DE" w:rsidP="00E967DE">
            <w:pPr>
              <w:jc w:val="right"/>
              <w:rPr>
                <w:rFonts w:ascii="Garamond" w:hAnsi="Garamond" w:cs="Arial"/>
                <w:sz w:val="18"/>
                <w:szCs w:val="18"/>
              </w:rPr>
            </w:pPr>
            <w:r w:rsidRPr="00E967DE">
              <w:rPr>
                <w:rFonts w:ascii="Garamond" w:hAnsi="Garamond" w:cs="Arial"/>
                <w:sz w:val="18"/>
                <w:szCs w:val="18"/>
              </w:rPr>
              <w:t>51,0</w:t>
            </w:r>
          </w:p>
        </w:tc>
        <w:tc>
          <w:tcPr>
            <w:tcW w:w="826" w:type="dxa"/>
            <w:shd w:val="clear" w:color="auto" w:fill="F2F2F2" w:themeFill="background1" w:themeFillShade="F2"/>
            <w:vAlign w:val="center"/>
          </w:tcPr>
          <w:p w:rsidR="00700919" w:rsidRPr="00E967DE" w:rsidRDefault="00E967DE" w:rsidP="00E967DE">
            <w:pPr>
              <w:jc w:val="right"/>
              <w:rPr>
                <w:rFonts w:ascii="Garamond" w:hAnsi="Garamond" w:cs="Arial"/>
                <w:sz w:val="18"/>
                <w:szCs w:val="18"/>
              </w:rPr>
            </w:pPr>
            <w:r w:rsidRPr="00E967DE">
              <w:rPr>
                <w:rFonts w:ascii="Garamond" w:hAnsi="Garamond" w:cs="Arial"/>
                <w:sz w:val="18"/>
                <w:szCs w:val="18"/>
              </w:rPr>
              <w:t>8,4</w:t>
            </w:r>
          </w:p>
        </w:tc>
      </w:tr>
    </w:tbl>
    <w:p w:rsidR="00C021AF" w:rsidRPr="00737C47" w:rsidRDefault="00C021AF" w:rsidP="00C021AF">
      <w:pPr>
        <w:jc w:val="both"/>
        <w:rPr>
          <w:rFonts w:ascii="Garamond" w:hAnsi="Garamond"/>
          <w:i/>
          <w:szCs w:val="22"/>
        </w:rPr>
      </w:pPr>
      <w:r w:rsidRPr="00737C47">
        <w:rPr>
          <w:rFonts w:ascii="Garamond" w:hAnsi="Garamond"/>
          <w:i/>
          <w:szCs w:val="22"/>
        </w:rPr>
        <w:t xml:space="preserve">Źródło: Opracowanie własne na podstawie danych </w:t>
      </w:r>
      <w:proofErr w:type="spellStart"/>
      <w:r w:rsidRPr="00737C47">
        <w:rPr>
          <w:rFonts w:ascii="Garamond" w:hAnsi="Garamond"/>
          <w:i/>
          <w:szCs w:val="22"/>
        </w:rPr>
        <w:t>GUS-BDL</w:t>
      </w:r>
      <w:proofErr w:type="spellEnd"/>
    </w:p>
    <w:p w:rsidR="00081A79" w:rsidRDefault="00DB02A5" w:rsidP="0066305A">
      <w:pPr>
        <w:jc w:val="both"/>
        <w:rPr>
          <w:rFonts w:ascii="Garamond" w:hAnsi="Garamond"/>
          <w:sz w:val="22"/>
          <w:szCs w:val="22"/>
        </w:rPr>
      </w:pPr>
      <w:r w:rsidRPr="00AA5213">
        <w:rPr>
          <w:rFonts w:ascii="Garamond" w:hAnsi="Garamond"/>
          <w:sz w:val="22"/>
          <w:szCs w:val="22"/>
        </w:rPr>
        <w:lastRenderedPageBreak/>
        <w:t xml:space="preserve">W omawianym okresie, </w:t>
      </w:r>
      <w:r w:rsidR="00C95B72" w:rsidRPr="00AA5213">
        <w:rPr>
          <w:rFonts w:ascii="Garamond" w:hAnsi="Garamond"/>
          <w:sz w:val="22"/>
          <w:szCs w:val="22"/>
        </w:rPr>
        <w:t xml:space="preserve">w gminach </w:t>
      </w:r>
      <w:r w:rsidR="00902E6C" w:rsidRPr="00AA5213">
        <w:rPr>
          <w:rFonts w:ascii="Garamond" w:hAnsi="Garamond"/>
          <w:sz w:val="22"/>
          <w:szCs w:val="22"/>
        </w:rPr>
        <w:t xml:space="preserve">obszaru </w:t>
      </w:r>
      <w:r w:rsidR="00C95B72" w:rsidRPr="00AA5213">
        <w:rPr>
          <w:rFonts w:ascii="Garamond" w:hAnsi="Garamond"/>
          <w:sz w:val="22"/>
          <w:szCs w:val="22"/>
        </w:rPr>
        <w:t xml:space="preserve">PLGR </w:t>
      </w:r>
      <w:r w:rsidR="00C021AF" w:rsidRPr="00AA5213">
        <w:rPr>
          <w:rFonts w:ascii="Garamond" w:hAnsi="Garamond"/>
          <w:sz w:val="22"/>
          <w:szCs w:val="22"/>
        </w:rPr>
        <w:t xml:space="preserve">odnotowano </w:t>
      </w:r>
      <w:r w:rsidRPr="00AA5213">
        <w:rPr>
          <w:rFonts w:ascii="Garamond" w:hAnsi="Garamond"/>
          <w:b/>
          <w:color w:val="7030A0"/>
          <w:sz w:val="22"/>
          <w:szCs w:val="22"/>
        </w:rPr>
        <w:t>z</w:t>
      </w:r>
      <w:r w:rsidR="00654E50" w:rsidRPr="00AA5213">
        <w:rPr>
          <w:rFonts w:ascii="Garamond" w:hAnsi="Garamond"/>
          <w:b/>
          <w:color w:val="7030A0"/>
          <w:sz w:val="22"/>
          <w:szCs w:val="22"/>
        </w:rPr>
        <w:t>decydowanie większy wzrost bezrobocia</w:t>
      </w:r>
      <w:r w:rsidR="00C95B72" w:rsidRPr="00AA5213">
        <w:rPr>
          <w:rFonts w:ascii="Garamond" w:hAnsi="Garamond"/>
          <w:b/>
          <w:color w:val="7030A0"/>
          <w:sz w:val="22"/>
          <w:szCs w:val="22"/>
        </w:rPr>
        <w:t xml:space="preserve"> </w:t>
      </w:r>
      <w:r w:rsidR="00C95B72" w:rsidRPr="00AA5213">
        <w:rPr>
          <w:rFonts w:ascii="Garamond" w:hAnsi="Garamond"/>
          <w:sz w:val="22"/>
          <w:szCs w:val="22"/>
        </w:rPr>
        <w:t>niż w województwie pomorskim i kraju.</w:t>
      </w:r>
      <w:r w:rsidR="00654E50" w:rsidRPr="00AA5213">
        <w:rPr>
          <w:rFonts w:ascii="Garamond" w:hAnsi="Garamond"/>
          <w:sz w:val="22"/>
          <w:szCs w:val="22"/>
        </w:rPr>
        <w:t xml:space="preserve"> </w:t>
      </w:r>
      <w:r w:rsidR="00C95B72" w:rsidRPr="00AA5213">
        <w:rPr>
          <w:rFonts w:ascii="Garamond" w:hAnsi="Garamond"/>
          <w:sz w:val="22"/>
          <w:szCs w:val="22"/>
        </w:rPr>
        <w:t>W</w:t>
      </w:r>
      <w:r w:rsidR="00654E50" w:rsidRPr="00AA5213">
        <w:rPr>
          <w:rFonts w:ascii="Garamond" w:hAnsi="Garamond"/>
          <w:sz w:val="22"/>
          <w:szCs w:val="22"/>
        </w:rPr>
        <w:t xml:space="preserve">zrosło ono </w:t>
      </w:r>
      <w:r w:rsidR="00C95B72" w:rsidRPr="00AA5213">
        <w:rPr>
          <w:rFonts w:ascii="Garamond" w:hAnsi="Garamond"/>
          <w:sz w:val="22"/>
          <w:szCs w:val="22"/>
        </w:rPr>
        <w:t xml:space="preserve">bowiem </w:t>
      </w:r>
      <w:r w:rsidR="00654E50" w:rsidRPr="00AA5213">
        <w:rPr>
          <w:rFonts w:ascii="Garamond" w:hAnsi="Garamond"/>
          <w:sz w:val="22"/>
          <w:szCs w:val="22"/>
        </w:rPr>
        <w:t>o 40,4% (dla porównania w województwie pomorskim o 31,3%, a w Polsce o 23,5%).</w:t>
      </w:r>
      <w:r w:rsidR="00627634" w:rsidRPr="00AA5213">
        <w:rPr>
          <w:rFonts w:ascii="Garamond" w:hAnsi="Garamond"/>
          <w:sz w:val="22"/>
          <w:szCs w:val="22"/>
        </w:rPr>
        <w:t xml:space="preserve"> </w:t>
      </w:r>
      <w:r w:rsidR="00B01F35" w:rsidRPr="00AA5213">
        <w:rPr>
          <w:rFonts w:ascii="Garamond" w:hAnsi="Garamond"/>
          <w:sz w:val="22"/>
          <w:szCs w:val="22"/>
        </w:rPr>
        <w:t xml:space="preserve">W 2013 r. w gminach </w:t>
      </w:r>
      <w:r w:rsidR="00902E6C" w:rsidRPr="00AA5213">
        <w:rPr>
          <w:rFonts w:ascii="Garamond" w:hAnsi="Garamond"/>
          <w:sz w:val="22"/>
          <w:szCs w:val="22"/>
        </w:rPr>
        <w:t xml:space="preserve">tworzących obszar </w:t>
      </w:r>
      <w:r w:rsidR="00B01F35" w:rsidRPr="00AA5213">
        <w:rPr>
          <w:rFonts w:ascii="Garamond" w:hAnsi="Garamond"/>
          <w:sz w:val="22"/>
          <w:szCs w:val="22"/>
        </w:rPr>
        <w:t>PLGR liczba zarejestrowanych bezrobotnych</w:t>
      </w:r>
      <w:r w:rsidR="00B01F35" w:rsidRPr="00AA5213">
        <w:rPr>
          <w:rFonts w:ascii="Garamond" w:hAnsi="Garamond"/>
          <w:color w:val="0070C0"/>
          <w:sz w:val="22"/>
          <w:szCs w:val="22"/>
        </w:rPr>
        <w:t xml:space="preserve"> </w:t>
      </w:r>
      <w:r w:rsidR="00B01F35" w:rsidRPr="00AA5213">
        <w:rPr>
          <w:rFonts w:ascii="Garamond" w:hAnsi="Garamond"/>
          <w:sz w:val="22"/>
          <w:szCs w:val="22"/>
        </w:rPr>
        <w:t xml:space="preserve">wynosiła niecałe 4,9 tys. osób. </w:t>
      </w:r>
      <w:r w:rsidR="00F35C0F" w:rsidRPr="00AA5213">
        <w:rPr>
          <w:rFonts w:ascii="Garamond" w:hAnsi="Garamond"/>
          <w:sz w:val="22"/>
          <w:szCs w:val="22"/>
        </w:rPr>
        <w:t xml:space="preserve">Najmniej korzystna sytuacja występuje w gminie Wejherowo, gdzie prawie 2,5 razy wzrosła liczba zarejestrowanych bezrobotnych (tj. </w:t>
      </w:r>
      <w:r w:rsidR="00C021AF" w:rsidRPr="00AA5213">
        <w:rPr>
          <w:rFonts w:ascii="Garamond" w:hAnsi="Garamond"/>
          <w:sz w:val="22"/>
          <w:szCs w:val="22"/>
        </w:rPr>
        <w:t>ponad 650 osób).</w:t>
      </w:r>
      <w:r w:rsidR="00F35C0F" w:rsidRPr="00AA5213">
        <w:rPr>
          <w:rFonts w:ascii="Garamond" w:hAnsi="Garamond"/>
          <w:sz w:val="22"/>
          <w:szCs w:val="22"/>
        </w:rPr>
        <w:t xml:space="preserve"> Tym samym, skupia ona prawie ¼ osób bez pracy </w:t>
      </w:r>
      <w:r w:rsidR="00902E6C" w:rsidRPr="00AA5213">
        <w:rPr>
          <w:rFonts w:ascii="Garamond" w:hAnsi="Garamond"/>
          <w:sz w:val="22"/>
          <w:szCs w:val="22"/>
        </w:rPr>
        <w:t xml:space="preserve">na obszarze </w:t>
      </w:r>
      <w:r w:rsidR="00F35C0F" w:rsidRPr="00AA5213">
        <w:rPr>
          <w:rFonts w:ascii="Garamond" w:hAnsi="Garamond"/>
          <w:sz w:val="22"/>
          <w:szCs w:val="22"/>
        </w:rPr>
        <w:t xml:space="preserve">PLGR. Najmniej natomiast jest bezrobotnych </w:t>
      </w:r>
      <w:r w:rsidR="00C021AF" w:rsidRPr="00AA5213">
        <w:rPr>
          <w:rFonts w:ascii="Garamond" w:hAnsi="Garamond"/>
          <w:sz w:val="22"/>
          <w:szCs w:val="22"/>
        </w:rPr>
        <w:t>w</w:t>
      </w:r>
      <w:r w:rsidR="00F35C0F" w:rsidRPr="00AA5213">
        <w:rPr>
          <w:rFonts w:ascii="Garamond" w:hAnsi="Garamond"/>
          <w:sz w:val="22"/>
          <w:szCs w:val="22"/>
        </w:rPr>
        <w:t xml:space="preserve"> Helu. Tam też relatywnie niewiel</w:t>
      </w:r>
      <w:r w:rsidR="00C021AF" w:rsidRPr="00AA5213">
        <w:rPr>
          <w:rFonts w:ascii="Garamond" w:hAnsi="Garamond"/>
          <w:sz w:val="22"/>
          <w:szCs w:val="22"/>
        </w:rPr>
        <w:t>ka była</w:t>
      </w:r>
      <w:r w:rsidR="00F35C0F" w:rsidRPr="00AA5213">
        <w:rPr>
          <w:rFonts w:ascii="Garamond" w:hAnsi="Garamond"/>
          <w:sz w:val="22"/>
          <w:szCs w:val="22"/>
        </w:rPr>
        <w:t xml:space="preserve"> dynamika.</w:t>
      </w:r>
      <w:r w:rsidR="00700919">
        <w:rPr>
          <w:rFonts w:ascii="Garamond" w:hAnsi="Garamond"/>
          <w:sz w:val="22"/>
          <w:szCs w:val="22"/>
        </w:rPr>
        <w:t xml:space="preserve"> </w:t>
      </w:r>
    </w:p>
    <w:p w:rsidR="00B01F35" w:rsidRDefault="0066305A" w:rsidP="0066305A">
      <w:pPr>
        <w:jc w:val="both"/>
        <w:rPr>
          <w:rFonts w:ascii="Garamond" w:hAnsi="Garamond"/>
          <w:sz w:val="22"/>
          <w:szCs w:val="22"/>
        </w:rPr>
      </w:pPr>
      <w:r>
        <w:rPr>
          <w:rFonts w:ascii="Garamond" w:hAnsi="Garamond"/>
          <w:sz w:val="22"/>
          <w:szCs w:val="22"/>
        </w:rPr>
        <w:t xml:space="preserve">Biorąc pod uwagę cały obszar PLGR struktura bezrobotnych wg płci jest zbliżona do średniej wojewódzkiej i krajowej: </w:t>
      </w:r>
      <w:r w:rsidRPr="0066305A">
        <w:rPr>
          <w:rFonts w:ascii="Garamond" w:hAnsi="Garamond"/>
          <w:b/>
          <w:color w:val="7030A0"/>
          <w:sz w:val="22"/>
          <w:szCs w:val="22"/>
        </w:rPr>
        <w:t>przeważają kobiety</w:t>
      </w:r>
      <w:r w:rsidRPr="0066305A">
        <w:rPr>
          <w:rFonts w:ascii="Garamond" w:hAnsi="Garamond"/>
          <w:color w:val="7030A0"/>
          <w:sz w:val="22"/>
          <w:szCs w:val="22"/>
        </w:rPr>
        <w:t xml:space="preserve"> </w:t>
      </w:r>
      <w:r>
        <w:rPr>
          <w:rFonts w:ascii="Garamond" w:hAnsi="Garamond"/>
          <w:sz w:val="22"/>
          <w:szCs w:val="22"/>
        </w:rPr>
        <w:t xml:space="preserve">(53,2%) przy jednoczesny systematycznym spadku ich udziału (od 2007 r. w Polsce o 7,3 p proc., w regionie o 9,7 p proc., a na obszarze PLGR o 12,3 p proc.). Analizując pojedyncze gminy zauważa się pewną specyfikę </w:t>
      </w:r>
      <w:r w:rsidR="00902E6C">
        <w:rPr>
          <w:rFonts w:ascii="Garamond" w:hAnsi="Garamond"/>
          <w:sz w:val="22"/>
          <w:szCs w:val="22"/>
        </w:rPr>
        <w:t xml:space="preserve">obszaru </w:t>
      </w:r>
      <w:r>
        <w:rPr>
          <w:rFonts w:ascii="Garamond" w:hAnsi="Garamond"/>
          <w:sz w:val="22"/>
          <w:szCs w:val="22"/>
        </w:rPr>
        <w:t>PLGR. Udział bezrobotnych mężczyzn jest wyższy niż kobiet. Sytuacja ta ma miejsce w większości jednostek tj. w miastach: Jastarni, Pucku, Władysławowie oraz gminach wiejskich: Krokowa i Puck.</w:t>
      </w:r>
    </w:p>
    <w:p w:rsidR="00D354FF" w:rsidRDefault="008632A1" w:rsidP="00B01F35">
      <w:pPr>
        <w:jc w:val="both"/>
        <w:rPr>
          <w:rFonts w:ascii="Garamond" w:hAnsi="Garamond"/>
          <w:sz w:val="22"/>
          <w:szCs w:val="22"/>
        </w:rPr>
      </w:pPr>
      <w:r w:rsidRPr="00AA5213">
        <w:rPr>
          <w:rFonts w:ascii="Garamond" w:hAnsi="Garamond"/>
          <w:sz w:val="22"/>
          <w:szCs w:val="22"/>
        </w:rPr>
        <w:t xml:space="preserve">Mimo znacznego wzrostu liczby bezrobotnych, </w:t>
      </w:r>
      <w:r w:rsidR="00FD6DCE" w:rsidRPr="00AA5213">
        <w:rPr>
          <w:rFonts w:ascii="Garamond" w:hAnsi="Garamond"/>
          <w:b/>
          <w:color w:val="7030A0"/>
          <w:sz w:val="22"/>
          <w:szCs w:val="22"/>
        </w:rPr>
        <w:t>o</w:t>
      </w:r>
      <w:r w:rsidR="00700919" w:rsidRPr="00AA5213">
        <w:rPr>
          <w:rFonts w:ascii="Garamond" w:hAnsi="Garamond"/>
          <w:b/>
          <w:color w:val="7030A0"/>
          <w:sz w:val="22"/>
          <w:szCs w:val="22"/>
        </w:rPr>
        <w:t xml:space="preserve">dsetek osób bez pracy w stosunku do ludności w wieku produkcyjnym </w:t>
      </w:r>
      <w:r w:rsidR="00FD6DCE" w:rsidRPr="00AA5213">
        <w:rPr>
          <w:rFonts w:ascii="Garamond" w:hAnsi="Garamond"/>
          <w:b/>
          <w:color w:val="7030A0"/>
          <w:sz w:val="22"/>
          <w:szCs w:val="22"/>
        </w:rPr>
        <w:t>jest poniżej wartości regionalnej i krajowej.</w:t>
      </w:r>
      <w:r w:rsidR="00FD6DCE" w:rsidRPr="00AA5213">
        <w:rPr>
          <w:rFonts w:ascii="Garamond" w:hAnsi="Garamond"/>
          <w:sz w:val="22"/>
          <w:szCs w:val="22"/>
        </w:rPr>
        <w:t xml:space="preserve"> Jest to związane z ubytkiem grupy </w:t>
      </w:r>
      <w:r w:rsidR="00B01F35" w:rsidRPr="00AA5213">
        <w:rPr>
          <w:rFonts w:ascii="Garamond" w:hAnsi="Garamond"/>
          <w:sz w:val="22"/>
          <w:szCs w:val="22"/>
        </w:rPr>
        <w:t xml:space="preserve">w wieku aktywności zawodowej </w:t>
      </w:r>
      <w:r w:rsidR="00FD6DCE" w:rsidRPr="00AA5213">
        <w:rPr>
          <w:rFonts w:ascii="Garamond" w:hAnsi="Garamond"/>
          <w:sz w:val="22"/>
          <w:szCs w:val="22"/>
        </w:rPr>
        <w:t>w kraju, prawie niezauważanym wzroście w regionie (0,5%) oraz</w:t>
      </w:r>
      <w:r w:rsidR="00B01F35" w:rsidRPr="00AA5213">
        <w:rPr>
          <w:rFonts w:ascii="Garamond" w:hAnsi="Garamond"/>
          <w:sz w:val="22"/>
          <w:szCs w:val="22"/>
        </w:rPr>
        <w:t xml:space="preserve"> znacznej dynamice </w:t>
      </w:r>
      <w:r w:rsidR="00902E6C" w:rsidRPr="00AA5213">
        <w:rPr>
          <w:rFonts w:ascii="Garamond" w:hAnsi="Garamond"/>
          <w:sz w:val="22"/>
          <w:szCs w:val="22"/>
        </w:rPr>
        <w:t xml:space="preserve">na obszarze </w:t>
      </w:r>
      <w:r w:rsidR="00B01F35" w:rsidRPr="00AA5213">
        <w:rPr>
          <w:rFonts w:ascii="Garamond" w:hAnsi="Garamond"/>
          <w:sz w:val="22"/>
          <w:szCs w:val="22"/>
        </w:rPr>
        <w:t>PLGR</w:t>
      </w:r>
      <w:r w:rsidR="00FD6DCE" w:rsidRPr="00AA5213">
        <w:rPr>
          <w:rFonts w:ascii="Garamond" w:hAnsi="Garamond"/>
          <w:sz w:val="22"/>
          <w:szCs w:val="22"/>
        </w:rPr>
        <w:t xml:space="preserve">. </w:t>
      </w:r>
      <w:r w:rsidR="00B01F35" w:rsidRPr="00AA5213">
        <w:rPr>
          <w:rFonts w:ascii="Garamond" w:hAnsi="Garamond"/>
          <w:sz w:val="22"/>
          <w:szCs w:val="22"/>
        </w:rPr>
        <w:t>Od 2007 r. największy wzrost odnotowano w Jastarni (3,6 p proc.), gdzie wskaźnik ten jest na poziomie 10</w:t>
      </w:r>
      <w:r w:rsidR="00FB6F78" w:rsidRPr="00AA5213">
        <w:rPr>
          <w:rFonts w:ascii="Garamond" w:hAnsi="Garamond"/>
          <w:sz w:val="22"/>
          <w:szCs w:val="22"/>
        </w:rPr>
        <w:t>,0</w:t>
      </w:r>
      <w:r w:rsidR="00B01F35" w:rsidRPr="00AA5213">
        <w:rPr>
          <w:rFonts w:ascii="Garamond" w:hAnsi="Garamond"/>
          <w:sz w:val="22"/>
          <w:szCs w:val="22"/>
        </w:rPr>
        <w:t>%. Najmniejszy wzrost (po 0,4 p proc.) dotyczy gmin Kosakowo i Puck. Gminy te charakteryzują się również najmniejszym udziałem bezrobotnych (odpowiednio 4,8% i 7,0%).</w:t>
      </w:r>
    </w:p>
    <w:p w:rsidR="00472369" w:rsidRDefault="00472369" w:rsidP="00B01F35">
      <w:pPr>
        <w:jc w:val="both"/>
        <w:rPr>
          <w:rFonts w:ascii="Garamond" w:hAnsi="Garamond"/>
          <w:sz w:val="22"/>
          <w:szCs w:val="22"/>
        </w:rPr>
      </w:pPr>
    </w:p>
    <w:p w:rsidR="00D354FF" w:rsidRPr="006335E2" w:rsidRDefault="00D354FF" w:rsidP="00E07C89">
      <w:pPr>
        <w:shd w:val="clear" w:color="auto" w:fill="B2A1C7" w:themeFill="accent4" w:themeFillTint="99"/>
        <w:spacing w:after="0" w:line="240" w:lineRule="auto"/>
        <w:jc w:val="center"/>
        <w:rPr>
          <w:rFonts w:ascii="Garamond" w:hAnsi="Garamond"/>
          <w:b/>
          <w:sz w:val="22"/>
          <w:szCs w:val="22"/>
        </w:rPr>
      </w:pPr>
      <w:r>
        <w:rPr>
          <w:rFonts w:ascii="Garamond" w:hAnsi="Garamond"/>
          <w:b/>
          <w:sz w:val="22"/>
          <w:szCs w:val="22"/>
        </w:rPr>
        <w:t>GOSPODARKA MORSKA</w:t>
      </w:r>
    </w:p>
    <w:p w:rsidR="000F157E" w:rsidRDefault="00C42379" w:rsidP="001008BD">
      <w:pPr>
        <w:spacing w:before="240"/>
        <w:jc w:val="both"/>
        <w:rPr>
          <w:rFonts w:ascii="Garamond" w:hAnsi="Garamond"/>
          <w:sz w:val="22"/>
          <w:szCs w:val="22"/>
        </w:rPr>
      </w:pPr>
      <w:r w:rsidRPr="00AA5213">
        <w:rPr>
          <w:rFonts w:ascii="Garamond" w:hAnsi="Garamond"/>
          <w:sz w:val="22"/>
          <w:szCs w:val="22"/>
        </w:rPr>
        <w:t xml:space="preserve">Na obszarze PLGR, </w:t>
      </w:r>
      <w:r w:rsidRPr="00AA5213">
        <w:rPr>
          <w:rFonts w:ascii="Garamond" w:hAnsi="Garamond"/>
          <w:b/>
          <w:color w:val="7030A0"/>
          <w:sz w:val="22"/>
          <w:szCs w:val="22"/>
        </w:rPr>
        <w:t>gospodarka morska jest silnie rozwinięta</w:t>
      </w:r>
      <w:r w:rsidRPr="00AA5213">
        <w:rPr>
          <w:rFonts w:ascii="Garamond" w:hAnsi="Garamond"/>
          <w:sz w:val="22"/>
          <w:szCs w:val="22"/>
        </w:rPr>
        <w:t>. Świadczy o tym tzw. wskaźnik lokalizacji (LQ)</w:t>
      </w:r>
      <w:r w:rsidRPr="00AA5213">
        <w:rPr>
          <w:rStyle w:val="Odwoanieprzypisudolnego"/>
          <w:rFonts w:ascii="Garamond" w:hAnsi="Garamond"/>
          <w:sz w:val="22"/>
          <w:szCs w:val="22"/>
        </w:rPr>
        <w:footnoteReference w:id="4"/>
      </w:r>
      <w:r w:rsidRPr="00AA5213">
        <w:rPr>
          <w:rFonts w:ascii="Garamond" w:hAnsi="Garamond"/>
          <w:sz w:val="22"/>
          <w:szCs w:val="22"/>
        </w:rPr>
        <w:t xml:space="preserve">. </w:t>
      </w:r>
      <w:r w:rsidR="00B46BE3" w:rsidRPr="00AA5213">
        <w:rPr>
          <w:rFonts w:ascii="Garamond" w:hAnsi="Garamond"/>
          <w:sz w:val="22"/>
          <w:szCs w:val="22"/>
        </w:rPr>
        <w:t>W 2013 r., w</w:t>
      </w:r>
      <w:r w:rsidRPr="00AA5213">
        <w:rPr>
          <w:rFonts w:ascii="Garamond" w:hAnsi="Garamond"/>
          <w:sz w:val="22"/>
          <w:szCs w:val="22"/>
        </w:rPr>
        <w:t xml:space="preserve"> odniesieniu do średniego poziomu rozwoju poszczególnych branż w województwie pomorskim, w przypadku działu rybactwo LQ wynosi</w:t>
      </w:r>
      <w:r w:rsidR="00AE4692">
        <w:rPr>
          <w:rFonts w:ascii="Garamond" w:hAnsi="Garamond"/>
          <w:sz w:val="22"/>
          <w:szCs w:val="22"/>
        </w:rPr>
        <w:t>ł</w:t>
      </w:r>
      <w:r w:rsidRPr="00AA5213">
        <w:rPr>
          <w:rFonts w:ascii="Garamond" w:hAnsi="Garamond"/>
          <w:sz w:val="22"/>
          <w:szCs w:val="22"/>
        </w:rPr>
        <w:t xml:space="preserve"> 7,0.</w:t>
      </w:r>
      <w:r>
        <w:rPr>
          <w:rFonts w:ascii="Garamond" w:hAnsi="Garamond"/>
          <w:sz w:val="22"/>
          <w:szCs w:val="22"/>
        </w:rPr>
        <w:t xml:space="preserve"> </w:t>
      </w:r>
    </w:p>
    <w:p w:rsidR="00EF0B32" w:rsidRPr="001A2BE4" w:rsidRDefault="00EF0B32" w:rsidP="001008BD">
      <w:pPr>
        <w:spacing w:before="240"/>
        <w:jc w:val="both"/>
        <w:rPr>
          <w:rFonts w:ascii="Garamond" w:hAnsi="Garamond"/>
          <w:sz w:val="22"/>
          <w:szCs w:val="22"/>
        </w:rPr>
      </w:pPr>
      <w:r>
        <w:rPr>
          <w:rFonts w:ascii="Garamond" w:hAnsi="Garamond"/>
          <w:sz w:val="22"/>
          <w:szCs w:val="22"/>
        </w:rPr>
        <w:t xml:space="preserve">Ponadto, obszar PLGR posiada </w:t>
      </w:r>
      <w:r w:rsidRPr="00EF0B32">
        <w:rPr>
          <w:rFonts w:ascii="Garamond" w:hAnsi="Garamond"/>
          <w:sz w:val="22"/>
          <w:szCs w:val="22"/>
        </w:rPr>
        <w:t>trwał</w:t>
      </w:r>
      <w:r>
        <w:rPr>
          <w:rFonts w:ascii="Garamond" w:hAnsi="Garamond"/>
          <w:sz w:val="22"/>
          <w:szCs w:val="22"/>
        </w:rPr>
        <w:t>ą</w:t>
      </w:r>
      <w:r w:rsidRPr="00EF0B32">
        <w:rPr>
          <w:rFonts w:ascii="Garamond" w:hAnsi="Garamond"/>
          <w:sz w:val="22"/>
          <w:szCs w:val="22"/>
        </w:rPr>
        <w:t xml:space="preserve"> infrastruktur</w:t>
      </w:r>
      <w:r>
        <w:rPr>
          <w:rFonts w:ascii="Garamond" w:hAnsi="Garamond"/>
          <w:sz w:val="22"/>
          <w:szCs w:val="22"/>
        </w:rPr>
        <w:t>ę morską i rybacką w postaci portów i baz rybackich.</w:t>
      </w:r>
      <w:r w:rsidR="00A35FDC">
        <w:rPr>
          <w:rFonts w:ascii="Garamond" w:hAnsi="Garamond"/>
          <w:sz w:val="22"/>
          <w:szCs w:val="22"/>
        </w:rPr>
        <w:t xml:space="preserve"> </w:t>
      </w:r>
      <w:r w:rsidR="00A35FDC" w:rsidRPr="001A2BE4">
        <w:rPr>
          <w:rFonts w:ascii="Garamond" w:hAnsi="Garamond"/>
          <w:sz w:val="22"/>
          <w:szCs w:val="22"/>
        </w:rPr>
        <w:t>Wymaga ona w prawdzie ciągłej modernizacji, niemniej jej wykorzystywania skutkuje</w:t>
      </w:r>
      <w:r w:rsidR="001A2BE4" w:rsidRPr="001A2BE4">
        <w:rPr>
          <w:rFonts w:ascii="Garamond" w:hAnsi="Garamond"/>
          <w:sz w:val="22"/>
          <w:szCs w:val="22"/>
        </w:rPr>
        <w:t xml:space="preserve"> wzrostem </w:t>
      </w:r>
      <w:r w:rsidR="007B3343">
        <w:rPr>
          <w:rFonts w:ascii="Garamond" w:hAnsi="Garamond"/>
          <w:sz w:val="22"/>
          <w:szCs w:val="22"/>
        </w:rPr>
        <w:t xml:space="preserve">wielkości wyładunków, </w:t>
      </w:r>
      <w:r w:rsidR="001A2BE4" w:rsidRPr="001A2BE4">
        <w:rPr>
          <w:rFonts w:ascii="Garamond" w:hAnsi="Garamond"/>
          <w:sz w:val="22"/>
          <w:szCs w:val="22"/>
        </w:rPr>
        <w:t xml:space="preserve">połowów </w:t>
      </w:r>
      <w:r w:rsidR="007B3343">
        <w:rPr>
          <w:rFonts w:ascii="Garamond" w:hAnsi="Garamond"/>
          <w:sz w:val="22"/>
          <w:szCs w:val="22"/>
        </w:rPr>
        <w:t xml:space="preserve">ryb oraz </w:t>
      </w:r>
      <w:r w:rsidR="001A2BE4" w:rsidRPr="001A2BE4">
        <w:rPr>
          <w:rFonts w:ascii="Garamond" w:hAnsi="Garamond"/>
          <w:sz w:val="22"/>
          <w:szCs w:val="22"/>
        </w:rPr>
        <w:t>i</w:t>
      </w:r>
      <w:r w:rsidR="007B3343">
        <w:rPr>
          <w:rFonts w:ascii="Garamond" w:hAnsi="Garamond"/>
          <w:sz w:val="22"/>
          <w:szCs w:val="22"/>
        </w:rPr>
        <w:t>ch</w:t>
      </w:r>
      <w:r w:rsidR="001A2BE4" w:rsidRPr="001A2BE4">
        <w:rPr>
          <w:rFonts w:ascii="Garamond" w:hAnsi="Garamond"/>
          <w:sz w:val="22"/>
          <w:szCs w:val="22"/>
        </w:rPr>
        <w:t xml:space="preserve"> przetwórst</w:t>
      </w:r>
      <w:r w:rsidR="008A66D0">
        <w:rPr>
          <w:rFonts w:ascii="Garamond" w:hAnsi="Garamond"/>
          <w:sz w:val="22"/>
          <w:szCs w:val="22"/>
        </w:rPr>
        <w:t>wa</w:t>
      </w:r>
      <w:r w:rsidR="001A2BE4" w:rsidRPr="001A2BE4">
        <w:rPr>
          <w:rFonts w:ascii="Garamond" w:hAnsi="Garamond"/>
          <w:sz w:val="22"/>
          <w:szCs w:val="22"/>
        </w:rPr>
        <w:t>.</w:t>
      </w:r>
      <w:r w:rsidR="00A35FDC" w:rsidRPr="001A2BE4">
        <w:rPr>
          <w:rFonts w:ascii="Garamond" w:hAnsi="Garamond"/>
          <w:sz w:val="22"/>
          <w:szCs w:val="22"/>
        </w:rPr>
        <w:t xml:space="preserve"> </w:t>
      </w:r>
    </w:p>
    <w:p w:rsidR="00537E9A" w:rsidRDefault="00A32CD1" w:rsidP="00537E9A">
      <w:pPr>
        <w:spacing w:before="240" w:after="0"/>
        <w:jc w:val="both"/>
        <w:rPr>
          <w:rFonts w:ascii="Garamond" w:hAnsi="Garamond"/>
          <w:sz w:val="22"/>
          <w:szCs w:val="22"/>
        </w:rPr>
      </w:pPr>
      <w:r>
        <w:rPr>
          <w:rFonts w:ascii="Garamond" w:hAnsi="Garamond"/>
          <w:sz w:val="22"/>
          <w:szCs w:val="22"/>
        </w:rPr>
        <w:t xml:space="preserve">O ile w latach 2007-2013 na obszarze PLGR, </w:t>
      </w:r>
      <w:r w:rsidRPr="001A2BE4">
        <w:rPr>
          <w:rFonts w:ascii="Garamond" w:hAnsi="Garamond"/>
          <w:b/>
          <w:color w:val="7030A0"/>
          <w:sz w:val="22"/>
          <w:szCs w:val="22"/>
        </w:rPr>
        <w:t>liczba kutrów rybackich spadała</w:t>
      </w:r>
      <w:r>
        <w:rPr>
          <w:rFonts w:ascii="Garamond" w:hAnsi="Garamond"/>
          <w:sz w:val="22"/>
          <w:szCs w:val="22"/>
        </w:rPr>
        <w:t xml:space="preserve">, o tyle, </w:t>
      </w:r>
      <w:r w:rsidRPr="001A2BE4">
        <w:rPr>
          <w:rFonts w:ascii="Garamond" w:hAnsi="Garamond"/>
          <w:b/>
          <w:color w:val="7030A0"/>
          <w:sz w:val="22"/>
          <w:szCs w:val="22"/>
        </w:rPr>
        <w:t>liczba łodzi rybackich zarówno motorowych jak i wiosłowych rosła</w:t>
      </w:r>
      <w:r>
        <w:rPr>
          <w:rFonts w:ascii="Garamond" w:hAnsi="Garamond"/>
          <w:sz w:val="22"/>
          <w:szCs w:val="22"/>
        </w:rPr>
        <w:t xml:space="preserve">. </w:t>
      </w:r>
    </w:p>
    <w:p w:rsidR="00A32CD1" w:rsidRDefault="00A32CD1" w:rsidP="00CF078A">
      <w:pPr>
        <w:spacing w:after="0"/>
        <w:jc w:val="both"/>
        <w:rPr>
          <w:rFonts w:ascii="Garamond" w:hAnsi="Garamond"/>
          <w:sz w:val="22"/>
          <w:szCs w:val="22"/>
        </w:rPr>
      </w:pPr>
      <w:r>
        <w:rPr>
          <w:rFonts w:ascii="Garamond" w:hAnsi="Garamond"/>
          <w:sz w:val="22"/>
          <w:szCs w:val="22"/>
        </w:rPr>
        <w:t>W 2013 r. w portach Hel, Jastarnia i Władysławowo stacjonowało 58 kutrów rybackich, co w stosunku do 2007 r. oznacza spadek o 29,3%. Niemniej, stanowiły one 56,3% całej ich floty w województwie</w:t>
      </w:r>
      <w:r w:rsidR="00537E9A">
        <w:rPr>
          <w:rFonts w:ascii="Garamond" w:hAnsi="Garamond"/>
          <w:sz w:val="22"/>
          <w:szCs w:val="22"/>
        </w:rPr>
        <w:t xml:space="preserve"> pomorskim </w:t>
      </w:r>
      <w:r>
        <w:rPr>
          <w:rFonts w:ascii="Garamond" w:hAnsi="Garamond"/>
          <w:sz w:val="22"/>
          <w:szCs w:val="22"/>
        </w:rPr>
        <w:t xml:space="preserve">oraz </w:t>
      </w:r>
      <w:r w:rsidR="00537E9A">
        <w:rPr>
          <w:rFonts w:ascii="Garamond" w:hAnsi="Garamond"/>
          <w:sz w:val="22"/>
          <w:szCs w:val="22"/>
        </w:rPr>
        <w:t>41,7% krajowej</w:t>
      </w:r>
      <w:r>
        <w:rPr>
          <w:rFonts w:ascii="Garamond" w:hAnsi="Garamond"/>
          <w:sz w:val="22"/>
          <w:szCs w:val="22"/>
        </w:rPr>
        <w:t>.</w:t>
      </w:r>
      <w:r w:rsidR="00537E9A">
        <w:rPr>
          <w:rFonts w:ascii="Garamond" w:hAnsi="Garamond"/>
          <w:sz w:val="22"/>
          <w:szCs w:val="22"/>
        </w:rPr>
        <w:t xml:space="preserve"> Warto zaznaczyć, że w omawianym czasie udział ten wzrósł, gdyż w Polsce obserwuje się </w:t>
      </w:r>
      <w:r w:rsidR="00C24E03">
        <w:rPr>
          <w:rFonts w:ascii="Garamond" w:hAnsi="Garamond"/>
          <w:sz w:val="22"/>
          <w:szCs w:val="22"/>
        </w:rPr>
        <w:t xml:space="preserve">wyższe tempo </w:t>
      </w:r>
      <w:r w:rsidR="00537E9A">
        <w:rPr>
          <w:rFonts w:ascii="Garamond" w:hAnsi="Garamond"/>
          <w:sz w:val="22"/>
          <w:szCs w:val="22"/>
        </w:rPr>
        <w:t>trend</w:t>
      </w:r>
      <w:r w:rsidR="00C24E03">
        <w:rPr>
          <w:rFonts w:ascii="Garamond" w:hAnsi="Garamond"/>
          <w:sz w:val="22"/>
          <w:szCs w:val="22"/>
        </w:rPr>
        <w:t>u spadkowego.</w:t>
      </w:r>
    </w:p>
    <w:p w:rsidR="005F5258" w:rsidRDefault="005F5258" w:rsidP="00CF078A">
      <w:pPr>
        <w:spacing w:after="0"/>
        <w:jc w:val="both"/>
        <w:rPr>
          <w:rFonts w:ascii="Garamond" w:hAnsi="Garamond"/>
          <w:sz w:val="22"/>
          <w:szCs w:val="22"/>
        </w:rPr>
      </w:pPr>
      <w:r w:rsidRPr="005F5258">
        <w:rPr>
          <w:rFonts w:ascii="Garamond" w:hAnsi="Garamond"/>
          <w:sz w:val="22"/>
          <w:szCs w:val="22"/>
        </w:rPr>
        <w:t>W latach 2007-2013</w:t>
      </w:r>
      <w:r>
        <w:rPr>
          <w:rFonts w:ascii="Garamond" w:hAnsi="Garamond"/>
          <w:sz w:val="22"/>
          <w:szCs w:val="22"/>
        </w:rPr>
        <w:t>,</w:t>
      </w:r>
      <w:r w:rsidRPr="005F5258">
        <w:rPr>
          <w:rFonts w:ascii="Garamond" w:hAnsi="Garamond"/>
          <w:sz w:val="22"/>
          <w:szCs w:val="22"/>
        </w:rPr>
        <w:t xml:space="preserve"> 50</w:t>
      </w:r>
      <w:r>
        <w:rPr>
          <w:rFonts w:ascii="Garamond" w:hAnsi="Garamond"/>
          <w:sz w:val="22"/>
          <w:szCs w:val="22"/>
        </w:rPr>
        <w:t>,7</w:t>
      </w:r>
      <w:r w:rsidRPr="005F5258">
        <w:rPr>
          <w:rFonts w:ascii="Garamond" w:hAnsi="Garamond"/>
          <w:sz w:val="22"/>
          <w:szCs w:val="22"/>
        </w:rPr>
        <w:t>% skasowanych w wojewó</w:t>
      </w:r>
      <w:r>
        <w:rPr>
          <w:rFonts w:ascii="Garamond" w:hAnsi="Garamond"/>
          <w:sz w:val="22"/>
          <w:szCs w:val="22"/>
        </w:rPr>
        <w:t>d</w:t>
      </w:r>
      <w:r w:rsidRPr="005F5258">
        <w:rPr>
          <w:rFonts w:ascii="Garamond" w:hAnsi="Garamond"/>
          <w:sz w:val="22"/>
          <w:szCs w:val="22"/>
        </w:rPr>
        <w:t>ztwie pomorskim kutrów pochodziło z obszaru PLGR</w:t>
      </w:r>
      <w:r>
        <w:rPr>
          <w:rFonts w:ascii="Garamond" w:hAnsi="Garamond"/>
          <w:sz w:val="22"/>
          <w:szCs w:val="22"/>
        </w:rPr>
        <w:t xml:space="preserve"> (36 z 71)</w:t>
      </w:r>
      <w:r w:rsidRPr="005F5258">
        <w:rPr>
          <w:rFonts w:ascii="Garamond" w:hAnsi="Garamond"/>
          <w:sz w:val="22"/>
          <w:szCs w:val="22"/>
        </w:rPr>
        <w:t>. W skali kraju stanowiły one 25,9%</w:t>
      </w:r>
      <w:r>
        <w:rPr>
          <w:rFonts w:ascii="Garamond" w:hAnsi="Garamond"/>
          <w:sz w:val="22"/>
          <w:szCs w:val="22"/>
        </w:rPr>
        <w:t xml:space="preserve"> (36 ze 139)</w:t>
      </w:r>
      <w:r w:rsidRPr="005F5258">
        <w:rPr>
          <w:rFonts w:ascii="Garamond" w:hAnsi="Garamond"/>
          <w:sz w:val="22"/>
          <w:szCs w:val="22"/>
        </w:rPr>
        <w:t>.</w:t>
      </w:r>
      <w:r w:rsidR="003662FB">
        <w:rPr>
          <w:rFonts w:ascii="Garamond" w:hAnsi="Garamond"/>
          <w:sz w:val="22"/>
          <w:szCs w:val="22"/>
        </w:rPr>
        <w:t xml:space="preserve"> </w:t>
      </w:r>
    </w:p>
    <w:p w:rsidR="003662FB" w:rsidRDefault="003662FB" w:rsidP="00537E9A">
      <w:pPr>
        <w:jc w:val="both"/>
        <w:rPr>
          <w:rFonts w:ascii="Garamond" w:hAnsi="Garamond"/>
          <w:sz w:val="22"/>
          <w:szCs w:val="22"/>
        </w:rPr>
      </w:pPr>
      <w:r w:rsidRPr="003662FB">
        <w:rPr>
          <w:rFonts w:ascii="Garamond" w:hAnsi="Garamond"/>
          <w:sz w:val="22"/>
          <w:szCs w:val="22"/>
        </w:rPr>
        <w:t>Średni wiek kutrów w obszarze PLGR jest niższy niż w województwie pomorskim i Polsce, o około 1,5 roku.</w:t>
      </w:r>
      <w:r>
        <w:rPr>
          <w:rFonts w:ascii="Garamond" w:hAnsi="Garamond"/>
          <w:sz w:val="22"/>
          <w:szCs w:val="22"/>
        </w:rPr>
        <w:t xml:space="preserve"> W 2013 r. wynosił 42,5 lat.</w:t>
      </w:r>
    </w:p>
    <w:p w:rsidR="002D6224" w:rsidRDefault="00CC47EC" w:rsidP="002D6224">
      <w:pPr>
        <w:spacing w:after="0"/>
        <w:jc w:val="both"/>
        <w:rPr>
          <w:rFonts w:ascii="Garamond" w:hAnsi="Garamond"/>
          <w:sz w:val="22"/>
          <w:szCs w:val="22"/>
        </w:rPr>
      </w:pPr>
      <w:r w:rsidRPr="00CC47EC">
        <w:rPr>
          <w:rFonts w:ascii="Garamond" w:hAnsi="Garamond"/>
          <w:sz w:val="22"/>
          <w:szCs w:val="22"/>
        </w:rPr>
        <w:lastRenderedPageBreak/>
        <w:t xml:space="preserve">W 2013 r. </w:t>
      </w:r>
      <w:r w:rsidR="002D6224">
        <w:rPr>
          <w:rFonts w:ascii="Garamond" w:hAnsi="Garamond"/>
          <w:sz w:val="22"/>
          <w:szCs w:val="22"/>
        </w:rPr>
        <w:t xml:space="preserve">w portach i bazach rybackich z obszaru PLGR stacjonowało 117 łodzi motorowych i 33 wiosłowe. </w:t>
      </w:r>
      <w:r w:rsidR="007371C2">
        <w:rPr>
          <w:rFonts w:ascii="Garamond" w:hAnsi="Garamond"/>
          <w:sz w:val="22"/>
          <w:szCs w:val="22"/>
        </w:rPr>
        <w:t xml:space="preserve">Od 2007 r. oznacza to wzrost odpowiednio o 6,4% i 50,0%. </w:t>
      </w:r>
      <w:r w:rsidR="002D6224">
        <w:rPr>
          <w:rFonts w:ascii="Garamond" w:hAnsi="Garamond"/>
          <w:sz w:val="22"/>
          <w:szCs w:val="22"/>
        </w:rPr>
        <w:t>Najwięcej ich było w Kuźnicy</w:t>
      </w:r>
      <w:r w:rsidR="007371C2">
        <w:rPr>
          <w:rFonts w:ascii="Garamond" w:hAnsi="Garamond"/>
          <w:sz w:val="22"/>
          <w:szCs w:val="22"/>
        </w:rPr>
        <w:t xml:space="preserve">, </w:t>
      </w:r>
      <w:r w:rsidR="002D6224">
        <w:rPr>
          <w:rFonts w:ascii="Garamond" w:hAnsi="Garamond"/>
          <w:sz w:val="22"/>
          <w:szCs w:val="22"/>
        </w:rPr>
        <w:t xml:space="preserve"> Jastarni </w:t>
      </w:r>
      <w:r w:rsidR="007371C2">
        <w:rPr>
          <w:rFonts w:ascii="Garamond" w:hAnsi="Garamond"/>
          <w:sz w:val="22"/>
          <w:szCs w:val="22"/>
        </w:rPr>
        <w:t xml:space="preserve">i we Władysławowie </w:t>
      </w:r>
      <w:r w:rsidR="002D6224">
        <w:rPr>
          <w:rFonts w:ascii="Garamond" w:hAnsi="Garamond"/>
          <w:sz w:val="22"/>
          <w:szCs w:val="22"/>
        </w:rPr>
        <w:t xml:space="preserve">(ryc. 2). </w:t>
      </w:r>
    </w:p>
    <w:p w:rsidR="008B01EC" w:rsidRDefault="002D6224" w:rsidP="008B01EC">
      <w:pPr>
        <w:spacing w:after="0"/>
        <w:jc w:val="both"/>
        <w:rPr>
          <w:rFonts w:ascii="Garamond" w:hAnsi="Garamond"/>
          <w:sz w:val="22"/>
          <w:szCs w:val="22"/>
        </w:rPr>
      </w:pPr>
      <w:r>
        <w:rPr>
          <w:rFonts w:ascii="Garamond" w:hAnsi="Garamond"/>
          <w:sz w:val="22"/>
          <w:szCs w:val="22"/>
        </w:rPr>
        <w:t>U</w:t>
      </w:r>
      <w:r w:rsidR="00CC47EC" w:rsidRPr="00CC47EC">
        <w:rPr>
          <w:rFonts w:ascii="Garamond" w:hAnsi="Garamond"/>
          <w:sz w:val="22"/>
          <w:szCs w:val="22"/>
        </w:rPr>
        <w:t>dział w województwie wiosłowych łodzi rybackich wynosi</w:t>
      </w:r>
      <w:r w:rsidR="00CC47EC">
        <w:rPr>
          <w:rFonts w:ascii="Garamond" w:hAnsi="Garamond"/>
          <w:sz w:val="22"/>
          <w:szCs w:val="22"/>
        </w:rPr>
        <w:t xml:space="preserve">ł </w:t>
      </w:r>
      <w:r w:rsidR="00CF078A">
        <w:rPr>
          <w:rFonts w:ascii="Garamond" w:hAnsi="Garamond"/>
          <w:sz w:val="22"/>
          <w:szCs w:val="22"/>
        </w:rPr>
        <w:t xml:space="preserve">89,2%. Mimo </w:t>
      </w:r>
      <w:r w:rsidR="00CC47EC" w:rsidRPr="00CC47EC">
        <w:rPr>
          <w:rFonts w:ascii="Garamond" w:hAnsi="Garamond"/>
          <w:sz w:val="22"/>
          <w:szCs w:val="22"/>
        </w:rPr>
        <w:t>wzros</w:t>
      </w:r>
      <w:r w:rsidR="00CF078A">
        <w:rPr>
          <w:rFonts w:ascii="Garamond" w:hAnsi="Garamond"/>
          <w:sz w:val="22"/>
          <w:szCs w:val="22"/>
        </w:rPr>
        <w:t>tu</w:t>
      </w:r>
      <w:r w:rsidR="00CC47EC" w:rsidRPr="00CC47EC">
        <w:rPr>
          <w:rFonts w:ascii="Garamond" w:hAnsi="Garamond"/>
          <w:sz w:val="22"/>
          <w:szCs w:val="22"/>
        </w:rPr>
        <w:t xml:space="preserve"> liczb</w:t>
      </w:r>
      <w:r w:rsidR="00CF078A">
        <w:rPr>
          <w:rFonts w:ascii="Garamond" w:hAnsi="Garamond"/>
          <w:sz w:val="22"/>
          <w:szCs w:val="22"/>
        </w:rPr>
        <w:t>y</w:t>
      </w:r>
      <w:r w:rsidR="00CC47EC" w:rsidRPr="00CC47EC">
        <w:rPr>
          <w:rFonts w:ascii="Garamond" w:hAnsi="Garamond"/>
          <w:sz w:val="22"/>
          <w:szCs w:val="22"/>
        </w:rPr>
        <w:t xml:space="preserve"> tych łodzi, ich udział  w województwie spadł o 2,5 p proc.</w:t>
      </w:r>
      <w:r w:rsidR="001A2BE4">
        <w:rPr>
          <w:rFonts w:ascii="Garamond" w:hAnsi="Garamond"/>
          <w:sz w:val="22"/>
          <w:szCs w:val="22"/>
        </w:rPr>
        <w:t>,</w:t>
      </w:r>
      <w:r w:rsidR="00CC47EC" w:rsidRPr="00CC47EC">
        <w:rPr>
          <w:rFonts w:ascii="Garamond" w:hAnsi="Garamond"/>
          <w:sz w:val="22"/>
          <w:szCs w:val="22"/>
        </w:rPr>
        <w:t xml:space="preserve"> a w </w:t>
      </w:r>
      <w:r w:rsidR="00CF078A">
        <w:rPr>
          <w:rFonts w:ascii="Garamond" w:hAnsi="Garamond"/>
          <w:sz w:val="22"/>
          <w:szCs w:val="22"/>
        </w:rPr>
        <w:t xml:space="preserve">skali </w:t>
      </w:r>
      <w:r w:rsidR="00CC47EC" w:rsidRPr="00CC47EC">
        <w:rPr>
          <w:rFonts w:ascii="Garamond" w:hAnsi="Garamond"/>
          <w:sz w:val="22"/>
          <w:szCs w:val="22"/>
        </w:rPr>
        <w:t>kraju o 17,7 p proc. (z 71</w:t>
      </w:r>
      <w:r w:rsidR="00CF078A">
        <w:rPr>
          <w:rFonts w:ascii="Garamond" w:hAnsi="Garamond"/>
          <w:sz w:val="22"/>
          <w:szCs w:val="22"/>
        </w:rPr>
        <w:t>,0</w:t>
      </w:r>
      <w:r w:rsidR="00CC47EC" w:rsidRPr="00CC47EC">
        <w:rPr>
          <w:rFonts w:ascii="Garamond" w:hAnsi="Garamond"/>
          <w:sz w:val="22"/>
          <w:szCs w:val="22"/>
        </w:rPr>
        <w:t>% do 53,2%).</w:t>
      </w:r>
      <w:r w:rsidR="00445D12">
        <w:rPr>
          <w:rFonts w:ascii="Garamond" w:hAnsi="Garamond"/>
          <w:sz w:val="22"/>
          <w:szCs w:val="22"/>
        </w:rPr>
        <w:t xml:space="preserve"> Z kolei motorowe łodzie rybackie stanowiły w regionie 39,7% (w kraju 18,5%), ale ich udział od 2007 r. zwiększył się odpowiednio o 2,6 i 0,7 p proc.</w:t>
      </w:r>
    </w:p>
    <w:p w:rsidR="008B01EC" w:rsidRDefault="008B01EC" w:rsidP="008B01EC">
      <w:pPr>
        <w:spacing w:after="0"/>
        <w:jc w:val="both"/>
        <w:rPr>
          <w:rFonts w:ascii="Garamond" w:eastAsia="Times New Roman" w:hAnsi="Garamond"/>
          <w:color w:val="000000"/>
          <w:sz w:val="22"/>
          <w:szCs w:val="22"/>
        </w:rPr>
      </w:pPr>
      <w:r w:rsidRPr="008B01EC">
        <w:rPr>
          <w:rFonts w:ascii="Garamond" w:hAnsi="Garamond"/>
          <w:sz w:val="22"/>
          <w:szCs w:val="22"/>
        </w:rPr>
        <w:t xml:space="preserve">Mimo, </w:t>
      </w:r>
      <w:r w:rsidR="001A2BE4">
        <w:rPr>
          <w:rFonts w:ascii="Garamond" w:hAnsi="Garamond"/>
          <w:sz w:val="22"/>
          <w:szCs w:val="22"/>
        </w:rPr>
        <w:t>znacznego</w:t>
      </w:r>
      <w:r w:rsidRPr="008B01EC">
        <w:rPr>
          <w:rFonts w:ascii="Garamond" w:hAnsi="Garamond"/>
          <w:sz w:val="22"/>
          <w:szCs w:val="22"/>
        </w:rPr>
        <w:t xml:space="preserve"> udział</w:t>
      </w:r>
      <w:r w:rsidR="001A2BE4">
        <w:rPr>
          <w:rFonts w:ascii="Garamond" w:hAnsi="Garamond"/>
          <w:sz w:val="22"/>
          <w:szCs w:val="22"/>
        </w:rPr>
        <w:t>y</w:t>
      </w:r>
      <w:r w:rsidRPr="008B01EC">
        <w:rPr>
          <w:rFonts w:ascii="Garamond" w:hAnsi="Garamond"/>
          <w:sz w:val="22"/>
          <w:szCs w:val="22"/>
        </w:rPr>
        <w:t xml:space="preserve"> łodzi motorowyc</w:t>
      </w:r>
      <w:r w:rsidR="001A2BE4">
        <w:rPr>
          <w:rFonts w:ascii="Garamond" w:hAnsi="Garamond"/>
          <w:sz w:val="22"/>
          <w:szCs w:val="22"/>
        </w:rPr>
        <w:t xml:space="preserve">h z obszaru PLGR w województwie, </w:t>
      </w:r>
      <w:r w:rsidRPr="008B01EC">
        <w:rPr>
          <w:rFonts w:ascii="Garamond" w:hAnsi="Garamond"/>
          <w:sz w:val="22"/>
          <w:szCs w:val="22"/>
        </w:rPr>
        <w:t>są one nieco słabsze gdyż ich moc stanowi 32,4%.</w:t>
      </w:r>
      <w:r>
        <w:rPr>
          <w:rFonts w:ascii="Garamond" w:hAnsi="Garamond"/>
          <w:sz w:val="22"/>
          <w:szCs w:val="22"/>
        </w:rPr>
        <w:t xml:space="preserve"> Niemniej od 2007 r. wzrosła ona o 33,0% z </w:t>
      </w:r>
      <w:r w:rsidRPr="008B01EC">
        <w:rPr>
          <w:rFonts w:ascii="Garamond" w:eastAsia="Times New Roman" w:hAnsi="Garamond"/>
          <w:color w:val="000000"/>
          <w:sz w:val="22"/>
          <w:szCs w:val="22"/>
        </w:rPr>
        <w:t>3 180,8</w:t>
      </w:r>
      <w:r>
        <w:rPr>
          <w:rFonts w:ascii="Garamond" w:eastAsia="Times New Roman" w:hAnsi="Garamond"/>
          <w:color w:val="000000"/>
          <w:sz w:val="22"/>
          <w:szCs w:val="22"/>
        </w:rPr>
        <w:t xml:space="preserve"> do </w:t>
      </w:r>
      <w:r w:rsidRPr="008B01EC">
        <w:rPr>
          <w:rFonts w:ascii="Garamond" w:eastAsia="Times New Roman" w:hAnsi="Garamond"/>
          <w:color w:val="000000"/>
          <w:sz w:val="22"/>
          <w:szCs w:val="22"/>
        </w:rPr>
        <w:t>4 229,9</w:t>
      </w:r>
      <w:r>
        <w:rPr>
          <w:rFonts w:ascii="Garamond" w:eastAsia="Times New Roman" w:hAnsi="Garamond"/>
          <w:color w:val="000000"/>
          <w:sz w:val="22"/>
          <w:szCs w:val="22"/>
        </w:rPr>
        <w:t xml:space="preserve"> </w:t>
      </w:r>
      <w:proofErr w:type="spellStart"/>
      <w:r>
        <w:rPr>
          <w:rFonts w:ascii="Garamond" w:eastAsia="Times New Roman" w:hAnsi="Garamond"/>
          <w:color w:val="000000"/>
          <w:sz w:val="22"/>
          <w:szCs w:val="22"/>
        </w:rPr>
        <w:t>kW</w:t>
      </w:r>
      <w:proofErr w:type="spellEnd"/>
      <w:r>
        <w:rPr>
          <w:rFonts w:ascii="Garamond" w:eastAsia="Times New Roman" w:hAnsi="Garamond"/>
          <w:color w:val="000000"/>
          <w:sz w:val="22"/>
          <w:szCs w:val="22"/>
        </w:rPr>
        <w:t>.</w:t>
      </w:r>
    </w:p>
    <w:p w:rsidR="00CF078A" w:rsidRDefault="00CF078A" w:rsidP="008B01EC">
      <w:pPr>
        <w:spacing w:after="0"/>
        <w:jc w:val="both"/>
        <w:rPr>
          <w:rFonts w:ascii="Garamond" w:hAnsi="Garamond"/>
          <w:sz w:val="22"/>
          <w:szCs w:val="22"/>
        </w:rPr>
      </w:pPr>
      <w:r w:rsidRPr="00CF078A">
        <w:rPr>
          <w:rFonts w:ascii="Garamond" w:hAnsi="Garamond"/>
          <w:sz w:val="22"/>
          <w:szCs w:val="22"/>
        </w:rPr>
        <w:t xml:space="preserve">Wiek łodzi rybackich zbliżony jest do średniej wojewódzkiej i wynosi 26,5 lat - motorowe, 22,4 lat - wiosłowe. Warto zauważyć, iż od 2007 r. wiek łodzi wiosłowych obniżył się </w:t>
      </w:r>
      <w:r>
        <w:rPr>
          <w:rFonts w:ascii="Garamond" w:hAnsi="Garamond"/>
          <w:sz w:val="22"/>
          <w:szCs w:val="22"/>
        </w:rPr>
        <w:t>(</w:t>
      </w:r>
      <w:r w:rsidRPr="00CF078A">
        <w:rPr>
          <w:rFonts w:ascii="Garamond" w:hAnsi="Garamond"/>
          <w:sz w:val="22"/>
          <w:szCs w:val="22"/>
        </w:rPr>
        <w:t>z 24,8 do 22,</w:t>
      </w:r>
      <w:r>
        <w:rPr>
          <w:rFonts w:ascii="Garamond" w:hAnsi="Garamond"/>
          <w:sz w:val="22"/>
          <w:szCs w:val="22"/>
        </w:rPr>
        <w:t>4), a motorowych niewiele wzrósł</w:t>
      </w:r>
      <w:r w:rsidRPr="00CF078A">
        <w:rPr>
          <w:rFonts w:ascii="Garamond" w:hAnsi="Garamond"/>
          <w:sz w:val="22"/>
          <w:szCs w:val="22"/>
        </w:rPr>
        <w:t xml:space="preserve"> </w:t>
      </w:r>
      <w:r>
        <w:rPr>
          <w:rFonts w:ascii="Garamond" w:hAnsi="Garamond"/>
          <w:sz w:val="22"/>
          <w:szCs w:val="22"/>
        </w:rPr>
        <w:t>(</w:t>
      </w:r>
      <w:r w:rsidRPr="00CF078A">
        <w:rPr>
          <w:rFonts w:ascii="Garamond" w:hAnsi="Garamond"/>
          <w:sz w:val="22"/>
          <w:szCs w:val="22"/>
        </w:rPr>
        <w:t>z 24,1 do 26,4 lat</w:t>
      </w:r>
      <w:r>
        <w:rPr>
          <w:rFonts w:ascii="Garamond" w:hAnsi="Garamond"/>
          <w:sz w:val="22"/>
          <w:szCs w:val="22"/>
        </w:rPr>
        <w:t>)</w:t>
      </w:r>
      <w:r w:rsidRPr="00CF078A">
        <w:rPr>
          <w:rFonts w:ascii="Garamond" w:hAnsi="Garamond"/>
          <w:sz w:val="22"/>
          <w:szCs w:val="22"/>
        </w:rPr>
        <w:t>. Najmłodsze jednostki stacjonują w Rewie (średni wiek 10,7 lat) i Chłapowie (11,0 lat).</w:t>
      </w:r>
    </w:p>
    <w:p w:rsidR="00472369" w:rsidRDefault="006B66B3" w:rsidP="001008BD">
      <w:pPr>
        <w:spacing w:before="240"/>
        <w:jc w:val="both"/>
        <w:rPr>
          <w:rFonts w:ascii="Garamond" w:hAnsi="Garamond"/>
          <w:sz w:val="22"/>
          <w:szCs w:val="22"/>
        </w:rPr>
      </w:pPr>
      <w:r>
        <w:rPr>
          <w:noProof/>
        </w:rPr>
        <w:drawing>
          <wp:inline distT="0" distB="0" distL="0" distR="0">
            <wp:extent cx="3888188" cy="2067340"/>
            <wp:effectExtent l="0" t="0" r="17145" b="9525"/>
            <wp:docPr id="3" name="Wykres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3E2F36" w:rsidRPr="006B66B3" w:rsidRDefault="003E2F36" w:rsidP="006B66B3">
      <w:pPr>
        <w:spacing w:after="0" w:line="240" w:lineRule="auto"/>
        <w:jc w:val="both"/>
        <w:rPr>
          <w:rFonts w:ascii="Garamond" w:hAnsi="Garamond"/>
          <w:szCs w:val="22"/>
        </w:rPr>
      </w:pPr>
      <w:r w:rsidRPr="006B66B3">
        <w:rPr>
          <w:rFonts w:ascii="Garamond" w:hAnsi="Garamond"/>
          <w:szCs w:val="22"/>
        </w:rPr>
        <w:t xml:space="preserve">Ryc. </w:t>
      </w:r>
      <w:r w:rsidR="006B66B3" w:rsidRPr="006B66B3">
        <w:rPr>
          <w:rFonts w:ascii="Garamond" w:hAnsi="Garamond"/>
          <w:szCs w:val="22"/>
        </w:rPr>
        <w:t xml:space="preserve">2. </w:t>
      </w:r>
      <w:r w:rsidRPr="006B66B3">
        <w:rPr>
          <w:rFonts w:ascii="Garamond" w:hAnsi="Garamond"/>
          <w:szCs w:val="22"/>
        </w:rPr>
        <w:t xml:space="preserve">Liczba łodzi rybackich </w:t>
      </w:r>
      <w:r w:rsidR="006B66B3" w:rsidRPr="006B66B3">
        <w:rPr>
          <w:rFonts w:ascii="Garamond" w:hAnsi="Garamond"/>
          <w:szCs w:val="22"/>
        </w:rPr>
        <w:t xml:space="preserve">w </w:t>
      </w:r>
      <w:r w:rsidR="008D0D1A">
        <w:rPr>
          <w:rFonts w:ascii="Garamond" w:hAnsi="Garamond"/>
          <w:szCs w:val="22"/>
        </w:rPr>
        <w:t xml:space="preserve">portach i </w:t>
      </w:r>
      <w:r w:rsidR="006B66B3" w:rsidRPr="006B66B3">
        <w:rPr>
          <w:rFonts w:ascii="Garamond" w:hAnsi="Garamond"/>
          <w:szCs w:val="22"/>
        </w:rPr>
        <w:t>bazach rybackich</w:t>
      </w:r>
      <w:r w:rsidR="008D0D1A">
        <w:rPr>
          <w:rFonts w:ascii="Garamond" w:hAnsi="Garamond"/>
          <w:szCs w:val="22"/>
        </w:rPr>
        <w:t xml:space="preserve"> z obszaru</w:t>
      </w:r>
      <w:r w:rsidRPr="006B66B3">
        <w:rPr>
          <w:rFonts w:ascii="Garamond" w:hAnsi="Garamond"/>
          <w:szCs w:val="22"/>
        </w:rPr>
        <w:t xml:space="preserve"> PLGR w 2013 r.</w:t>
      </w:r>
    </w:p>
    <w:p w:rsidR="006B66B3" w:rsidRDefault="006B66B3" w:rsidP="006B66B3">
      <w:pPr>
        <w:spacing w:line="240" w:lineRule="auto"/>
        <w:jc w:val="both"/>
        <w:rPr>
          <w:rFonts w:ascii="Garamond" w:hAnsi="Garamond"/>
          <w:i/>
          <w:szCs w:val="22"/>
        </w:rPr>
      </w:pPr>
      <w:r w:rsidRPr="006B66B3">
        <w:rPr>
          <w:rFonts w:ascii="Garamond" w:hAnsi="Garamond"/>
          <w:i/>
          <w:szCs w:val="22"/>
        </w:rPr>
        <w:t>Źródło: Opracowanie własne na podstawie danych M</w:t>
      </w:r>
      <w:r w:rsidR="008D0D1A">
        <w:rPr>
          <w:rFonts w:ascii="Garamond" w:hAnsi="Garamond"/>
          <w:i/>
          <w:szCs w:val="22"/>
        </w:rPr>
        <w:t>orskiego Instytutu Rybackiego</w:t>
      </w:r>
      <w:r w:rsidR="000F200E">
        <w:rPr>
          <w:rFonts w:ascii="Garamond" w:hAnsi="Garamond"/>
          <w:i/>
          <w:szCs w:val="22"/>
        </w:rPr>
        <w:t xml:space="preserve"> w Gdyni</w:t>
      </w:r>
    </w:p>
    <w:p w:rsidR="000416BB" w:rsidRDefault="000D4BD7" w:rsidP="00A35FDC">
      <w:pPr>
        <w:spacing w:before="240"/>
        <w:jc w:val="both"/>
        <w:rPr>
          <w:rFonts w:ascii="Garamond" w:hAnsi="Garamond"/>
          <w:sz w:val="22"/>
          <w:szCs w:val="22"/>
        </w:rPr>
      </w:pPr>
      <w:r>
        <w:rPr>
          <w:rFonts w:ascii="Garamond" w:hAnsi="Garamond"/>
          <w:sz w:val="22"/>
          <w:szCs w:val="22"/>
        </w:rPr>
        <w:t xml:space="preserve">Mimo zróżnicowanej sytuacji dotyczącej jednostek pływających, na obszarze PLGR obserwuje się </w:t>
      </w:r>
      <w:r w:rsidRPr="000D3723">
        <w:rPr>
          <w:rFonts w:ascii="Garamond" w:hAnsi="Garamond"/>
          <w:b/>
          <w:color w:val="7030A0"/>
          <w:sz w:val="22"/>
          <w:szCs w:val="22"/>
        </w:rPr>
        <w:t>wzrost</w:t>
      </w:r>
      <w:r w:rsidR="000D3723">
        <w:rPr>
          <w:rFonts w:ascii="Garamond" w:hAnsi="Garamond"/>
          <w:b/>
          <w:color w:val="7030A0"/>
          <w:sz w:val="22"/>
          <w:szCs w:val="22"/>
        </w:rPr>
        <w:t xml:space="preserve"> wielkości</w:t>
      </w:r>
      <w:r w:rsidRPr="000D3723">
        <w:rPr>
          <w:rFonts w:ascii="Garamond" w:hAnsi="Garamond"/>
          <w:b/>
          <w:color w:val="7030A0"/>
          <w:sz w:val="22"/>
          <w:szCs w:val="22"/>
        </w:rPr>
        <w:t xml:space="preserve"> połowów</w:t>
      </w:r>
      <w:r>
        <w:rPr>
          <w:rFonts w:ascii="Garamond" w:hAnsi="Garamond"/>
          <w:sz w:val="22"/>
          <w:szCs w:val="22"/>
        </w:rPr>
        <w:t xml:space="preserve">. </w:t>
      </w:r>
      <w:r w:rsidR="000416BB">
        <w:rPr>
          <w:rFonts w:ascii="Garamond" w:hAnsi="Garamond"/>
          <w:sz w:val="22"/>
          <w:szCs w:val="22"/>
        </w:rPr>
        <w:t>W 2013 r. wyniosły one 50,7 tys. ton, co oznacza wzrost od 2</w:t>
      </w:r>
      <w:r w:rsidR="00555D58">
        <w:rPr>
          <w:rFonts w:ascii="Garamond" w:hAnsi="Garamond"/>
          <w:sz w:val="22"/>
          <w:szCs w:val="22"/>
        </w:rPr>
        <w:t>007</w:t>
      </w:r>
      <w:r w:rsidR="000416BB">
        <w:rPr>
          <w:rFonts w:ascii="Garamond" w:hAnsi="Garamond"/>
          <w:sz w:val="22"/>
          <w:szCs w:val="22"/>
        </w:rPr>
        <w:t xml:space="preserve"> r.</w:t>
      </w:r>
      <w:r w:rsidR="00555D58">
        <w:rPr>
          <w:rFonts w:ascii="Garamond" w:hAnsi="Garamond"/>
          <w:sz w:val="22"/>
          <w:szCs w:val="22"/>
        </w:rPr>
        <w:t xml:space="preserve"> o 37,4%.</w:t>
      </w:r>
      <w:r w:rsidR="000416BB">
        <w:rPr>
          <w:rFonts w:ascii="Garamond" w:hAnsi="Garamond"/>
          <w:sz w:val="22"/>
          <w:szCs w:val="22"/>
        </w:rPr>
        <w:t xml:space="preserve"> Mimo to, </w:t>
      </w:r>
      <w:r w:rsidR="00767C1C">
        <w:rPr>
          <w:rFonts w:ascii="Garamond" w:hAnsi="Garamond"/>
          <w:sz w:val="22"/>
          <w:szCs w:val="22"/>
        </w:rPr>
        <w:t>udział połowów w regionie spadł o 2,0 p proc. i wyniósł 65,8%.</w:t>
      </w:r>
      <w:r w:rsidR="000416BB">
        <w:rPr>
          <w:rFonts w:ascii="Garamond" w:hAnsi="Garamond"/>
          <w:sz w:val="22"/>
          <w:szCs w:val="22"/>
        </w:rPr>
        <w:t xml:space="preserve"> Z kolei sytuacja w Polsce spowodowała, że w skali kraju udział połowów z obszaru PLGR wzrósł o 3,6 p proc. z 34,2 do 37,8%.</w:t>
      </w:r>
    </w:p>
    <w:p w:rsidR="000D4BD7" w:rsidRDefault="000D4BD7" w:rsidP="00A35FDC">
      <w:pPr>
        <w:spacing w:before="240"/>
        <w:jc w:val="both"/>
        <w:rPr>
          <w:rFonts w:ascii="Garamond" w:hAnsi="Garamond"/>
          <w:sz w:val="22"/>
          <w:szCs w:val="22"/>
        </w:rPr>
      </w:pPr>
      <w:r>
        <w:rPr>
          <w:rFonts w:ascii="Garamond" w:hAnsi="Garamond"/>
          <w:sz w:val="22"/>
          <w:szCs w:val="22"/>
        </w:rPr>
        <w:t xml:space="preserve">Największy udział </w:t>
      </w:r>
      <w:r w:rsidR="000416BB">
        <w:rPr>
          <w:rFonts w:ascii="Garamond" w:hAnsi="Garamond"/>
          <w:sz w:val="22"/>
          <w:szCs w:val="22"/>
        </w:rPr>
        <w:t xml:space="preserve">w połowach </w:t>
      </w:r>
      <w:r>
        <w:rPr>
          <w:rFonts w:ascii="Garamond" w:hAnsi="Garamond"/>
          <w:sz w:val="22"/>
          <w:szCs w:val="22"/>
        </w:rPr>
        <w:t>ma port we Władysławowie (65,4%</w:t>
      </w:r>
      <w:r w:rsidR="000416BB">
        <w:rPr>
          <w:rFonts w:ascii="Garamond" w:hAnsi="Garamond"/>
          <w:sz w:val="22"/>
          <w:szCs w:val="22"/>
        </w:rPr>
        <w:t>, tj. 33,5 tys. ton</w:t>
      </w:r>
      <w:r>
        <w:rPr>
          <w:rFonts w:ascii="Garamond" w:hAnsi="Garamond"/>
          <w:sz w:val="22"/>
          <w:szCs w:val="22"/>
        </w:rPr>
        <w:t>) oraz w Helu (24,2%</w:t>
      </w:r>
      <w:r w:rsidR="000416BB">
        <w:rPr>
          <w:rFonts w:ascii="Garamond" w:hAnsi="Garamond"/>
          <w:sz w:val="22"/>
          <w:szCs w:val="22"/>
        </w:rPr>
        <w:t>, tj. 12,3 tys. ton</w:t>
      </w:r>
      <w:r>
        <w:rPr>
          <w:rFonts w:ascii="Garamond" w:hAnsi="Garamond"/>
          <w:sz w:val="22"/>
          <w:szCs w:val="22"/>
        </w:rPr>
        <w:t>).</w:t>
      </w:r>
    </w:p>
    <w:p w:rsidR="00CB3322" w:rsidRDefault="00EA686C" w:rsidP="00CB3322">
      <w:pPr>
        <w:spacing w:after="0"/>
        <w:jc w:val="both"/>
        <w:rPr>
          <w:rFonts w:ascii="Garamond" w:hAnsi="Garamond"/>
          <w:sz w:val="22"/>
          <w:szCs w:val="22"/>
        </w:rPr>
      </w:pPr>
      <w:r>
        <w:rPr>
          <w:rFonts w:ascii="Garamond" w:hAnsi="Garamond"/>
          <w:sz w:val="22"/>
          <w:szCs w:val="22"/>
        </w:rPr>
        <w:t xml:space="preserve">Na obszarze PLGR, </w:t>
      </w:r>
      <w:r w:rsidRPr="007B3343">
        <w:rPr>
          <w:rFonts w:ascii="Garamond" w:hAnsi="Garamond"/>
          <w:b/>
          <w:color w:val="7030A0"/>
          <w:sz w:val="22"/>
          <w:szCs w:val="22"/>
        </w:rPr>
        <w:t xml:space="preserve">wśród gatunków </w:t>
      </w:r>
      <w:r w:rsidR="007B3343" w:rsidRPr="007B3343">
        <w:rPr>
          <w:rFonts w:ascii="Garamond" w:hAnsi="Garamond"/>
          <w:b/>
          <w:color w:val="7030A0"/>
          <w:sz w:val="22"/>
          <w:szCs w:val="22"/>
        </w:rPr>
        <w:t xml:space="preserve">łowionych </w:t>
      </w:r>
      <w:r w:rsidR="008D0D1A" w:rsidRPr="007B3343">
        <w:rPr>
          <w:rFonts w:ascii="Garamond" w:hAnsi="Garamond"/>
          <w:b/>
          <w:color w:val="7030A0"/>
          <w:sz w:val="22"/>
          <w:szCs w:val="22"/>
        </w:rPr>
        <w:t>ryb dominuje szprot</w:t>
      </w:r>
      <w:r w:rsidR="008D0D1A">
        <w:rPr>
          <w:rFonts w:ascii="Garamond" w:hAnsi="Garamond"/>
          <w:sz w:val="22"/>
          <w:szCs w:val="22"/>
        </w:rPr>
        <w:t xml:space="preserve"> (76,4%)</w:t>
      </w:r>
      <w:r w:rsidR="00F83406">
        <w:rPr>
          <w:rFonts w:ascii="Garamond" w:hAnsi="Garamond"/>
          <w:sz w:val="22"/>
          <w:szCs w:val="22"/>
        </w:rPr>
        <w:t>, (tab. 3)</w:t>
      </w:r>
      <w:r w:rsidR="008D0D1A">
        <w:rPr>
          <w:rFonts w:ascii="Garamond" w:hAnsi="Garamond"/>
          <w:sz w:val="22"/>
          <w:szCs w:val="22"/>
        </w:rPr>
        <w:t xml:space="preserve">. </w:t>
      </w:r>
      <w:r>
        <w:rPr>
          <w:rFonts w:ascii="Garamond" w:hAnsi="Garamond"/>
          <w:sz w:val="22"/>
          <w:szCs w:val="22"/>
        </w:rPr>
        <w:t>W latach 2007-2013 r. wielkość jego połowów wzrosła o 39,1% i w ostatnim roku wyniosła niecałe 38,8 tys. ton.</w:t>
      </w:r>
      <w:r w:rsidR="00CB3322">
        <w:rPr>
          <w:rFonts w:ascii="Garamond" w:hAnsi="Garamond"/>
          <w:sz w:val="22"/>
          <w:szCs w:val="22"/>
        </w:rPr>
        <w:t xml:space="preserve"> Mimo to, udział tej ryby w portach PLGR w stosunku do połowów w skali województwa nieco spadł (o 6,9 p proc) i wynosi 71,1%. Z kolei w kraju stanowi on 47,9% połowów tej ryby (wzrost o 1,5 p proc.).</w:t>
      </w:r>
      <w:r>
        <w:rPr>
          <w:rFonts w:ascii="Garamond" w:hAnsi="Garamond"/>
          <w:sz w:val="22"/>
          <w:szCs w:val="22"/>
        </w:rPr>
        <w:t xml:space="preserve"> </w:t>
      </w:r>
      <w:r w:rsidR="00F74EDC">
        <w:rPr>
          <w:rFonts w:ascii="Garamond" w:hAnsi="Garamond"/>
          <w:sz w:val="22"/>
          <w:szCs w:val="22"/>
        </w:rPr>
        <w:t>Najwięcej szprota łowi się w okolicach portu Władysławowo (68,5%)</w:t>
      </w:r>
      <w:r w:rsidR="00193DCB">
        <w:rPr>
          <w:rFonts w:ascii="Garamond" w:hAnsi="Garamond"/>
          <w:sz w:val="22"/>
          <w:szCs w:val="22"/>
        </w:rPr>
        <w:t>,</w:t>
      </w:r>
      <w:r w:rsidR="00F74EDC">
        <w:rPr>
          <w:rFonts w:ascii="Garamond" w:hAnsi="Garamond"/>
          <w:sz w:val="22"/>
          <w:szCs w:val="22"/>
        </w:rPr>
        <w:t xml:space="preserve"> Hel (24,5%)</w:t>
      </w:r>
      <w:r w:rsidR="00193DCB">
        <w:rPr>
          <w:rFonts w:ascii="Garamond" w:hAnsi="Garamond"/>
          <w:sz w:val="22"/>
          <w:szCs w:val="22"/>
        </w:rPr>
        <w:t xml:space="preserve"> i Jastarnia (7,0%)</w:t>
      </w:r>
      <w:r w:rsidR="00F74EDC">
        <w:rPr>
          <w:rFonts w:ascii="Garamond" w:hAnsi="Garamond"/>
          <w:sz w:val="22"/>
          <w:szCs w:val="22"/>
        </w:rPr>
        <w:t>.</w:t>
      </w:r>
    </w:p>
    <w:p w:rsidR="000416BB" w:rsidRDefault="008D0D1A" w:rsidP="004140C4">
      <w:pPr>
        <w:spacing w:after="0"/>
        <w:jc w:val="both"/>
        <w:rPr>
          <w:rFonts w:ascii="Garamond" w:hAnsi="Garamond"/>
          <w:sz w:val="22"/>
          <w:szCs w:val="22"/>
        </w:rPr>
      </w:pPr>
      <w:r>
        <w:rPr>
          <w:rFonts w:ascii="Garamond" w:hAnsi="Garamond"/>
          <w:sz w:val="22"/>
          <w:szCs w:val="22"/>
        </w:rPr>
        <w:t>Drugi w kolejności jest śledź, któr</w:t>
      </w:r>
      <w:r w:rsidR="00F74EDC">
        <w:rPr>
          <w:rFonts w:ascii="Garamond" w:hAnsi="Garamond"/>
          <w:sz w:val="22"/>
          <w:szCs w:val="22"/>
        </w:rPr>
        <w:t>ego połowy</w:t>
      </w:r>
      <w:r>
        <w:rPr>
          <w:rFonts w:ascii="Garamond" w:hAnsi="Garamond"/>
          <w:sz w:val="22"/>
          <w:szCs w:val="22"/>
        </w:rPr>
        <w:t xml:space="preserve"> odnotował</w:t>
      </w:r>
      <w:r w:rsidR="00F74EDC">
        <w:rPr>
          <w:rFonts w:ascii="Garamond" w:hAnsi="Garamond"/>
          <w:sz w:val="22"/>
          <w:szCs w:val="22"/>
        </w:rPr>
        <w:t>y</w:t>
      </w:r>
      <w:r>
        <w:rPr>
          <w:rFonts w:ascii="Garamond" w:hAnsi="Garamond"/>
          <w:sz w:val="22"/>
          <w:szCs w:val="22"/>
        </w:rPr>
        <w:t xml:space="preserve"> największy wzrost</w:t>
      </w:r>
      <w:r w:rsidR="00193DCB">
        <w:rPr>
          <w:rFonts w:ascii="Garamond" w:hAnsi="Garamond"/>
          <w:sz w:val="22"/>
          <w:szCs w:val="22"/>
        </w:rPr>
        <w:t>,</w:t>
      </w:r>
      <w:r w:rsidR="001907DA">
        <w:rPr>
          <w:rFonts w:ascii="Garamond" w:hAnsi="Garamond"/>
          <w:sz w:val="22"/>
          <w:szCs w:val="22"/>
        </w:rPr>
        <w:t xml:space="preserve"> bo</w:t>
      </w:r>
      <w:r>
        <w:rPr>
          <w:rFonts w:ascii="Garamond" w:hAnsi="Garamond"/>
          <w:sz w:val="22"/>
          <w:szCs w:val="22"/>
        </w:rPr>
        <w:t xml:space="preserve"> o 56,2% (z 4,2 do 6,6 tys. ton)</w:t>
      </w:r>
      <w:r w:rsidR="00F74EDC">
        <w:rPr>
          <w:rFonts w:ascii="Garamond" w:hAnsi="Garamond"/>
          <w:sz w:val="22"/>
          <w:szCs w:val="22"/>
        </w:rPr>
        <w:t>.</w:t>
      </w:r>
      <w:r>
        <w:rPr>
          <w:rFonts w:ascii="Garamond" w:hAnsi="Garamond"/>
          <w:sz w:val="22"/>
          <w:szCs w:val="22"/>
        </w:rPr>
        <w:t xml:space="preserve"> </w:t>
      </w:r>
      <w:r w:rsidR="004140C4">
        <w:rPr>
          <w:rFonts w:ascii="Garamond" w:hAnsi="Garamond"/>
          <w:sz w:val="22"/>
          <w:szCs w:val="22"/>
        </w:rPr>
        <w:t>W regionie i kraju tempo wzrostu było mniejsze, t</w:t>
      </w:r>
      <w:r w:rsidR="001907DA">
        <w:rPr>
          <w:rFonts w:ascii="Garamond" w:hAnsi="Garamond"/>
          <w:sz w:val="22"/>
          <w:szCs w:val="22"/>
        </w:rPr>
        <w:t xml:space="preserve">ym samym wzrósł również </w:t>
      </w:r>
      <w:r w:rsidR="004140C4">
        <w:rPr>
          <w:rFonts w:ascii="Garamond" w:hAnsi="Garamond"/>
          <w:sz w:val="22"/>
          <w:szCs w:val="22"/>
        </w:rPr>
        <w:t xml:space="preserve">tam </w:t>
      </w:r>
      <w:r w:rsidR="001907DA">
        <w:rPr>
          <w:rFonts w:ascii="Garamond" w:hAnsi="Garamond"/>
          <w:sz w:val="22"/>
          <w:szCs w:val="22"/>
        </w:rPr>
        <w:t xml:space="preserve">jego udział, odpowiednio </w:t>
      </w:r>
      <w:r w:rsidR="004140C4">
        <w:rPr>
          <w:rFonts w:ascii="Garamond" w:hAnsi="Garamond"/>
          <w:sz w:val="22"/>
          <w:szCs w:val="22"/>
        </w:rPr>
        <w:t xml:space="preserve">w województwie </w:t>
      </w:r>
      <w:r w:rsidR="001907DA">
        <w:rPr>
          <w:rFonts w:ascii="Garamond" w:hAnsi="Garamond"/>
          <w:sz w:val="22"/>
          <w:szCs w:val="22"/>
        </w:rPr>
        <w:t xml:space="preserve">o 7,7 p proc. (do 60,4%) oraz </w:t>
      </w:r>
      <w:r w:rsidR="004140C4">
        <w:rPr>
          <w:rFonts w:ascii="Garamond" w:hAnsi="Garamond"/>
          <w:sz w:val="22"/>
          <w:szCs w:val="22"/>
        </w:rPr>
        <w:t xml:space="preserve">w Polsce o </w:t>
      </w:r>
      <w:r w:rsidR="001907DA">
        <w:rPr>
          <w:rFonts w:ascii="Garamond" w:hAnsi="Garamond"/>
          <w:sz w:val="22"/>
          <w:szCs w:val="22"/>
        </w:rPr>
        <w:t>8,9 p proc. (do 28,0%).</w:t>
      </w:r>
      <w:r w:rsidR="00193DCB">
        <w:rPr>
          <w:rFonts w:ascii="Garamond" w:hAnsi="Garamond"/>
          <w:sz w:val="22"/>
          <w:szCs w:val="22"/>
        </w:rPr>
        <w:t xml:space="preserve"> Podobnie, ale już w innych proporcjach, wygląda lokalizacja połowów</w:t>
      </w:r>
      <w:r w:rsidR="004140C4">
        <w:rPr>
          <w:rFonts w:ascii="Garamond" w:hAnsi="Garamond"/>
          <w:sz w:val="22"/>
          <w:szCs w:val="22"/>
        </w:rPr>
        <w:t xml:space="preserve"> śledzia. Są to kolejno porty: Władysławowo (59,5%), Hel (34,8%) i Jastarnia (5,5%).</w:t>
      </w:r>
    </w:p>
    <w:p w:rsidR="004140C4" w:rsidRDefault="004140C4" w:rsidP="00CB3322">
      <w:pPr>
        <w:jc w:val="both"/>
        <w:rPr>
          <w:rFonts w:ascii="Garamond" w:hAnsi="Garamond"/>
          <w:sz w:val="22"/>
          <w:szCs w:val="22"/>
        </w:rPr>
      </w:pPr>
      <w:r>
        <w:rPr>
          <w:rFonts w:ascii="Garamond" w:hAnsi="Garamond"/>
          <w:sz w:val="22"/>
          <w:szCs w:val="22"/>
        </w:rPr>
        <w:t xml:space="preserve">W wielkości połowów </w:t>
      </w:r>
      <w:r w:rsidR="009F66F8">
        <w:rPr>
          <w:rFonts w:ascii="Garamond" w:hAnsi="Garamond"/>
          <w:sz w:val="22"/>
          <w:szCs w:val="22"/>
        </w:rPr>
        <w:t xml:space="preserve">na trzecim miejscu jest </w:t>
      </w:r>
      <w:r>
        <w:rPr>
          <w:rFonts w:ascii="Garamond" w:hAnsi="Garamond"/>
          <w:sz w:val="22"/>
          <w:szCs w:val="22"/>
        </w:rPr>
        <w:t>dorsz</w:t>
      </w:r>
      <w:r w:rsidR="00EF59D8">
        <w:rPr>
          <w:rFonts w:ascii="Garamond" w:hAnsi="Garamond"/>
          <w:sz w:val="22"/>
          <w:szCs w:val="22"/>
        </w:rPr>
        <w:t xml:space="preserve"> (7,8% w PLGR)</w:t>
      </w:r>
      <w:r>
        <w:rPr>
          <w:rFonts w:ascii="Garamond" w:hAnsi="Garamond"/>
          <w:sz w:val="22"/>
          <w:szCs w:val="22"/>
        </w:rPr>
        <w:t xml:space="preserve">. W 2013 r. złowiono 3,9 tys. ton tej ryby (wzrost o 23,1% w stosunku do 2007 r.). </w:t>
      </w:r>
      <w:r w:rsidR="00EF59D8">
        <w:rPr>
          <w:rFonts w:ascii="Garamond" w:hAnsi="Garamond"/>
          <w:sz w:val="22"/>
          <w:szCs w:val="22"/>
        </w:rPr>
        <w:t>Podobnie jak w przypadku śledzia, wielkość połowów z omawianego terenu wzrosła szybciej</w:t>
      </w:r>
      <w:r w:rsidR="00BD6A53">
        <w:rPr>
          <w:rFonts w:ascii="Garamond" w:hAnsi="Garamond"/>
          <w:sz w:val="22"/>
          <w:szCs w:val="22"/>
        </w:rPr>
        <w:t xml:space="preserve"> niż w skali pomorskiego i Polski i wynosi odpowiednio 53,8% i </w:t>
      </w:r>
      <w:r w:rsidR="00BD6A53">
        <w:rPr>
          <w:rFonts w:ascii="Garamond" w:hAnsi="Garamond"/>
          <w:sz w:val="22"/>
          <w:szCs w:val="22"/>
        </w:rPr>
        <w:lastRenderedPageBreak/>
        <w:t>31,5%.</w:t>
      </w:r>
      <w:r w:rsidR="00800006">
        <w:rPr>
          <w:rFonts w:ascii="Garamond" w:hAnsi="Garamond"/>
          <w:sz w:val="22"/>
          <w:szCs w:val="22"/>
        </w:rPr>
        <w:t xml:space="preserve"> Najwięcej dorsza łowi się w okolicach Władysławowa (55,1%) i Jastarni (28,9%), a ponad to Helu (8,8%) oraz Kuźnic (4,8%).</w:t>
      </w:r>
    </w:p>
    <w:p w:rsidR="003F512A" w:rsidRDefault="003F512A" w:rsidP="00CB3322">
      <w:pPr>
        <w:jc w:val="both"/>
        <w:rPr>
          <w:rFonts w:ascii="Garamond" w:hAnsi="Garamond"/>
          <w:sz w:val="22"/>
          <w:szCs w:val="22"/>
        </w:rPr>
      </w:pPr>
    </w:p>
    <w:p w:rsidR="009A7594" w:rsidRPr="00C10337" w:rsidRDefault="00C10337" w:rsidP="00C10337">
      <w:pPr>
        <w:spacing w:after="0"/>
        <w:jc w:val="both"/>
        <w:rPr>
          <w:rFonts w:ascii="Garamond" w:hAnsi="Garamond"/>
          <w:szCs w:val="22"/>
        </w:rPr>
      </w:pPr>
      <w:r w:rsidRPr="00C10337">
        <w:rPr>
          <w:rFonts w:ascii="Garamond" w:hAnsi="Garamond"/>
          <w:szCs w:val="22"/>
        </w:rPr>
        <w:t>Tab. 3. Połowy ryb w obszarze PLGR w 2013 r.</w:t>
      </w:r>
    </w:p>
    <w:tbl>
      <w:tblPr>
        <w:tblStyle w:val="Tabela-Siatka"/>
        <w:tblW w:w="0" w:type="auto"/>
        <w:tblLook w:val="04A0"/>
      </w:tblPr>
      <w:tblGrid>
        <w:gridCol w:w="820"/>
        <w:gridCol w:w="1699"/>
        <w:gridCol w:w="1417"/>
        <w:gridCol w:w="850"/>
        <w:gridCol w:w="851"/>
        <w:gridCol w:w="850"/>
        <w:gridCol w:w="851"/>
        <w:gridCol w:w="975"/>
        <w:gridCol w:w="975"/>
      </w:tblGrid>
      <w:tr w:rsidR="00795189" w:rsidTr="009E437A">
        <w:tc>
          <w:tcPr>
            <w:tcW w:w="817" w:type="dxa"/>
            <w:vMerge w:val="restart"/>
            <w:shd w:val="clear" w:color="auto" w:fill="B2A1C7" w:themeFill="accent4" w:themeFillTint="99"/>
            <w:vAlign w:val="center"/>
          </w:tcPr>
          <w:p w:rsidR="00795189" w:rsidRPr="00122B42" w:rsidRDefault="002C12B8" w:rsidP="002C12B8">
            <w:pPr>
              <w:jc w:val="center"/>
              <w:rPr>
                <w:rFonts w:ascii="Garamond" w:hAnsi="Garamond"/>
                <w:sz w:val="18"/>
                <w:szCs w:val="22"/>
              </w:rPr>
            </w:pPr>
            <w:r w:rsidRPr="00122B42">
              <w:rPr>
                <w:rFonts w:ascii="Garamond" w:hAnsi="Garamond"/>
                <w:sz w:val="18"/>
                <w:szCs w:val="22"/>
              </w:rPr>
              <w:t>Gatunek</w:t>
            </w:r>
          </w:p>
        </w:tc>
        <w:tc>
          <w:tcPr>
            <w:tcW w:w="1701" w:type="dxa"/>
            <w:vMerge w:val="restart"/>
            <w:shd w:val="clear" w:color="auto" w:fill="B2A1C7" w:themeFill="accent4" w:themeFillTint="99"/>
            <w:vAlign w:val="center"/>
          </w:tcPr>
          <w:p w:rsidR="00795189" w:rsidRPr="00122B42" w:rsidRDefault="00795189" w:rsidP="001D627F">
            <w:pPr>
              <w:jc w:val="center"/>
              <w:rPr>
                <w:rFonts w:ascii="Garamond" w:hAnsi="Garamond"/>
                <w:sz w:val="18"/>
                <w:szCs w:val="22"/>
              </w:rPr>
            </w:pPr>
            <w:r w:rsidRPr="00122B42">
              <w:rPr>
                <w:rFonts w:ascii="Garamond" w:hAnsi="Garamond"/>
                <w:sz w:val="18"/>
                <w:szCs w:val="22"/>
              </w:rPr>
              <w:t>Wielkość połowu [tony]</w:t>
            </w:r>
          </w:p>
        </w:tc>
        <w:tc>
          <w:tcPr>
            <w:tcW w:w="1418" w:type="dxa"/>
            <w:vMerge w:val="restart"/>
            <w:shd w:val="clear" w:color="auto" w:fill="B2A1C7" w:themeFill="accent4" w:themeFillTint="99"/>
            <w:vAlign w:val="center"/>
          </w:tcPr>
          <w:p w:rsidR="00795189" w:rsidRPr="00122B42" w:rsidRDefault="00795189" w:rsidP="001D627F">
            <w:pPr>
              <w:jc w:val="center"/>
              <w:rPr>
                <w:rFonts w:ascii="Garamond" w:hAnsi="Garamond"/>
                <w:sz w:val="18"/>
                <w:szCs w:val="22"/>
              </w:rPr>
            </w:pPr>
            <w:r w:rsidRPr="00122B42">
              <w:rPr>
                <w:rFonts w:ascii="Garamond" w:hAnsi="Garamond"/>
                <w:sz w:val="18"/>
                <w:szCs w:val="22"/>
              </w:rPr>
              <w:t>Dynamika</w:t>
            </w:r>
          </w:p>
          <w:p w:rsidR="00795189" w:rsidRPr="00122B42" w:rsidRDefault="00795189" w:rsidP="001D627F">
            <w:pPr>
              <w:jc w:val="center"/>
              <w:rPr>
                <w:rFonts w:ascii="Garamond" w:hAnsi="Garamond"/>
                <w:sz w:val="18"/>
                <w:szCs w:val="22"/>
              </w:rPr>
            </w:pPr>
            <w:r w:rsidRPr="00122B42">
              <w:rPr>
                <w:rFonts w:ascii="Garamond" w:hAnsi="Garamond"/>
                <w:sz w:val="18"/>
                <w:szCs w:val="22"/>
              </w:rPr>
              <w:t>[2007=100]</w:t>
            </w:r>
          </w:p>
        </w:tc>
        <w:tc>
          <w:tcPr>
            <w:tcW w:w="1701" w:type="dxa"/>
            <w:gridSpan w:val="2"/>
            <w:shd w:val="clear" w:color="auto" w:fill="B2A1C7" w:themeFill="accent4" w:themeFillTint="99"/>
            <w:vAlign w:val="center"/>
          </w:tcPr>
          <w:p w:rsidR="00795189" w:rsidRPr="00122B42" w:rsidRDefault="00795189" w:rsidP="001D627F">
            <w:pPr>
              <w:jc w:val="center"/>
              <w:rPr>
                <w:rFonts w:ascii="Garamond" w:hAnsi="Garamond"/>
                <w:sz w:val="18"/>
                <w:szCs w:val="22"/>
              </w:rPr>
            </w:pPr>
            <w:r w:rsidRPr="00122B42">
              <w:rPr>
                <w:rFonts w:ascii="Garamond" w:hAnsi="Garamond"/>
                <w:sz w:val="18"/>
                <w:szCs w:val="22"/>
              </w:rPr>
              <w:t>Udział w PLGR [%]</w:t>
            </w:r>
          </w:p>
        </w:tc>
        <w:tc>
          <w:tcPr>
            <w:tcW w:w="1701" w:type="dxa"/>
            <w:gridSpan w:val="2"/>
            <w:shd w:val="clear" w:color="auto" w:fill="B2A1C7" w:themeFill="accent4" w:themeFillTint="99"/>
            <w:vAlign w:val="center"/>
          </w:tcPr>
          <w:p w:rsidR="00795189" w:rsidRPr="00122B42" w:rsidRDefault="00795189" w:rsidP="00FC4196">
            <w:pPr>
              <w:jc w:val="center"/>
              <w:rPr>
                <w:rFonts w:ascii="Garamond" w:hAnsi="Garamond"/>
                <w:sz w:val="18"/>
                <w:szCs w:val="22"/>
              </w:rPr>
            </w:pPr>
            <w:r w:rsidRPr="00122B42">
              <w:rPr>
                <w:rFonts w:ascii="Garamond" w:hAnsi="Garamond"/>
                <w:sz w:val="18"/>
                <w:szCs w:val="22"/>
              </w:rPr>
              <w:t>Udział w woj</w:t>
            </w:r>
            <w:r w:rsidR="002C12B8" w:rsidRPr="00122B42">
              <w:rPr>
                <w:rFonts w:ascii="Garamond" w:hAnsi="Garamond"/>
                <w:sz w:val="18"/>
                <w:szCs w:val="22"/>
              </w:rPr>
              <w:t>ewództwie</w:t>
            </w:r>
            <w:r w:rsidR="00FC4196">
              <w:rPr>
                <w:rFonts w:ascii="Garamond" w:hAnsi="Garamond"/>
                <w:sz w:val="18"/>
                <w:szCs w:val="22"/>
              </w:rPr>
              <w:t xml:space="preserve"> </w:t>
            </w:r>
            <w:r w:rsidRPr="00122B42">
              <w:rPr>
                <w:rFonts w:ascii="Garamond" w:hAnsi="Garamond"/>
                <w:sz w:val="18"/>
                <w:szCs w:val="22"/>
              </w:rPr>
              <w:t>[%]</w:t>
            </w:r>
          </w:p>
        </w:tc>
        <w:tc>
          <w:tcPr>
            <w:tcW w:w="1950" w:type="dxa"/>
            <w:gridSpan w:val="2"/>
            <w:shd w:val="clear" w:color="auto" w:fill="B2A1C7" w:themeFill="accent4" w:themeFillTint="99"/>
            <w:vAlign w:val="center"/>
          </w:tcPr>
          <w:p w:rsidR="00795189" w:rsidRPr="00122B42" w:rsidRDefault="00795189" w:rsidP="00FC4196">
            <w:pPr>
              <w:jc w:val="center"/>
              <w:rPr>
                <w:rFonts w:ascii="Garamond" w:hAnsi="Garamond"/>
                <w:sz w:val="18"/>
                <w:szCs w:val="22"/>
              </w:rPr>
            </w:pPr>
            <w:r w:rsidRPr="00122B42">
              <w:rPr>
                <w:rFonts w:ascii="Garamond" w:hAnsi="Garamond"/>
                <w:sz w:val="18"/>
                <w:szCs w:val="22"/>
              </w:rPr>
              <w:t>Udział w Polsce</w:t>
            </w:r>
            <w:r w:rsidR="00FC4196">
              <w:rPr>
                <w:rFonts w:ascii="Garamond" w:hAnsi="Garamond"/>
                <w:sz w:val="18"/>
                <w:szCs w:val="22"/>
              </w:rPr>
              <w:t xml:space="preserve"> </w:t>
            </w:r>
            <w:r w:rsidRPr="00122B42">
              <w:rPr>
                <w:rFonts w:ascii="Garamond" w:hAnsi="Garamond"/>
                <w:sz w:val="18"/>
                <w:szCs w:val="22"/>
              </w:rPr>
              <w:t>[%]</w:t>
            </w:r>
          </w:p>
        </w:tc>
      </w:tr>
      <w:tr w:rsidR="00795189" w:rsidTr="009E437A">
        <w:tc>
          <w:tcPr>
            <w:tcW w:w="817" w:type="dxa"/>
            <w:vMerge/>
            <w:shd w:val="clear" w:color="auto" w:fill="FBD4B4" w:themeFill="accent6" w:themeFillTint="66"/>
          </w:tcPr>
          <w:p w:rsidR="00795189" w:rsidRPr="00122B42" w:rsidRDefault="00795189" w:rsidP="00C10337">
            <w:pPr>
              <w:jc w:val="center"/>
              <w:rPr>
                <w:rFonts w:ascii="Garamond" w:hAnsi="Garamond"/>
                <w:sz w:val="18"/>
                <w:szCs w:val="22"/>
              </w:rPr>
            </w:pPr>
          </w:p>
        </w:tc>
        <w:tc>
          <w:tcPr>
            <w:tcW w:w="1701" w:type="dxa"/>
            <w:vMerge/>
            <w:shd w:val="clear" w:color="auto" w:fill="FBD4B4" w:themeFill="accent6" w:themeFillTint="66"/>
            <w:vAlign w:val="center"/>
          </w:tcPr>
          <w:p w:rsidR="00795189" w:rsidRPr="00122B42" w:rsidRDefault="00795189" w:rsidP="001D627F">
            <w:pPr>
              <w:jc w:val="center"/>
              <w:rPr>
                <w:rFonts w:ascii="Garamond" w:hAnsi="Garamond"/>
                <w:sz w:val="18"/>
                <w:szCs w:val="22"/>
              </w:rPr>
            </w:pPr>
          </w:p>
        </w:tc>
        <w:tc>
          <w:tcPr>
            <w:tcW w:w="1418" w:type="dxa"/>
            <w:vMerge/>
            <w:shd w:val="clear" w:color="auto" w:fill="FBD4B4" w:themeFill="accent6" w:themeFillTint="66"/>
            <w:vAlign w:val="center"/>
          </w:tcPr>
          <w:p w:rsidR="00795189" w:rsidRPr="00122B42" w:rsidRDefault="00795189" w:rsidP="001D627F">
            <w:pPr>
              <w:jc w:val="center"/>
              <w:rPr>
                <w:rFonts w:ascii="Garamond" w:hAnsi="Garamond"/>
                <w:sz w:val="18"/>
                <w:szCs w:val="22"/>
              </w:rPr>
            </w:pPr>
          </w:p>
        </w:tc>
        <w:tc>
          <w:tcPr>
            <w:tcW w:w="850" w:type="dxa"/>
            <w:shd w:val="clear" w:color="auto" w:fill="CCC0D9" w:themeFill="accent4" w:themeFillTint="66"/>
            <w:vAlign w:val="center"/>
          </w:tcPr>
          <w:p w:rsidR="00795189" w:rsidRPr="00122B42" w:rsidRDefault="00795189" w:rsidP="001D627F">
            <w:pPr>
              <w:jc w:val="center"/>
              <w:rPr>
                <w:rFonts w:ascii="Garamond" w:hAnsi="Garamond"/>
                <w:sz w:val="18"/>
                <w:szCs w:val="22"/>
              </w:rPr>
            </w:pPr>
            <w:r w:rsidRPr="00122B42">
              <w:rPr>
                <w:rFonts w:ascii="Garamond" w:hAnsi="Garamond"/>
                <w:sz w:val="18"/>
                <w:szCs w:val="22"/>
              </w:rPr>
              <w:t>2007</w:t>
            </w:r>
          </w:p>
        </w:tc>
        <w:tc>
          <w:tcPr>
            <w:tcW w:w="851" w:type="dxa"/>
            <w:shd w:val="clear" w:color="auto" w:fill="CCC0D9" w:themeFill="accent4" w:themeFillTint="66"/>
            <w:vAlign w:val="center"/>
          </w:tcPr>
          <w:p w:rsidR="00795189" w:rsidRPr="00122B42" w:rsidRDefault="00795189" w:rsidP="001D627F">
            <w:pPr>
              <w:jc w:val="center"/>
              <w:rPr>
                <w:rFonts w:ascii="Garamond" w:hAnsi="Garamond"/>
                <w:sz w:val="18"/>
                <w:szCs w:val="22"/>
              </w:rPr>
            </w:pPr>
            <w:r w:rsidRPr="00122B42">
              <w:rPr>
                <w:rFonts w:ascii="Garamond" w:hAnsi="Garamond"/>
                <w:sz w:val="18"/>
                <w:szCs w:val="22"/>
              </w:rPr>
              <w:t>2013</w:t>
            </w:r>
          </w:p>
        </w:tc>
        <w:tc>
          <w:tcPr>
            <w:tcW w:w="850" w:type="dxa"/>
            <w:shd w:val="clear" w:color="auto" w:fill="CCC0D9" w:themeFill="accent4" w:themeFillTint="66"/>
            <w:vAlign w:val="center"/>
          </w:tcPr>
          <w:p w:rsidR="00795189" w:rsidRPr="00122B42" w:rsidRDefault="00795189" w:rsidP="00E745D1">
            <w:pPr>
              <w:jc w:val="center"/>
              <w:rPr>
                <w:rFonts w:ascii="Garamond" w:hAnsi="Garamond"/>
                <w:sz w:val="18"/>
                <w:szCs w:val="22"/>
              </w:rPr>
            </w:pPr>
            <w:r w:rsidRPr="00122B42">
              <w:rPr>
                <w:rFonts w:ascii="Garamond" w:hAnsi="Garamond"/>
                <w:sz w:val="18"/>
                <w:szCs w:val="22"/>
              </w:rPr>
              <w:t>2007</w:t>
            </w:r>
          </w:p>
        </w:tc>
        <w:tc>
          <w:tcPr>
            <w:tcW w:w="851" w:type="dxa"/>
            <w:shd w:val="clear" w:color="auto" w:fill="CCC0D9" w:themeFill="accent4" w:themeFillTint="66"/>
            <w:vAlign w:val="center"/>
          </w:tcPr>
          <w:p w:rsidR="00795189" w:rsidRPr="00122B42" w:rsidRDefault="00795189" w:rsidP="00E745D1">
            <w:pPr>
              <w:jc w:val="center"/>
              <w:rPr>
                <w:rFonts w:ascii="Garamond" w:hAnsi="Garamond"/>
                <w:sz w:val="18"/>
                <w:szCs w:val="22"/>
              </w:rPr>
            </w:pPr>
            <w:r w:rsidRPr="00122B42">
              <w:rPr>
                <w:rFonts w:ascii="Garamond" w:hAnsi="Garamond"/>
                <w:sz w:val="18"/>
                <w:szCs w:val="22"/>
              </w:rPr>
              <w:t>2013</w:t>
            </w:r>
          </w:p>
        </w:tc>
        <w:tc>
          <w:tcPr>
            <w:tcW w:w="975" w:type="dxa"/>
            <w:shd w:val="clear" w:color="auto" w:fill="CCC0D9" w:themeFill="accent4" w:themeFillTint="66"/>
            <w:vAlign w:val="center"/>
          </w:tcPr>
          <w:p w:rsidR="00795189" w:rsidRPr="00122B42" w:rsidRDefault="00795189" w:rsidP="00E745D1">
            <w:pPr>
              <w:jc w:val="center"/>
              <w:rPr>
                <w:rFonts w:ascii="Garamond" w:hAnsi="Garamond"/>
                <w:sz w:val="18"/>
                <w:szCs w:val="22"/>
              </w:rPr>
            </w:pPr>
            <w:r w:rsidRPr="00122B42">
              <w:rPr>
                <w:rFonts w:ascii="Garamond" w:hAnsi="Garamond"/>
                <w:sz w:val="18"/>
                <w:szCs w:val="22"/>
              </w:rPr>
              <w:t>2007</w:t>
            </w:r>
          </w:p>
        </w:tc>
        <w:tc>
          <w:tcPr>
            <w:tcW w:w="975" w:type="dxa"/>
            <w:shd w:val="clear" w:color="auto" w:fill="CCC0D9" w:themeFill="accent4" w:themeFillTint="66"/>
            <w:vAlign w:val="center"/>
          </w:tcPr>
          <w:p w:rsidR="00795189" w:rsidRPr="00122B42" w:rsidRDefault="00795189" w:rsidP="00E745D1">
            <w:pPr>
              <w:jc w:val="center"/>
              <w:rPr>
                <w:rFonts w:ascii="Garamond" w:hAnsi="Garamond"/>
                <w:sz w:val="18"/>
                <w:szCs w:val="22"/>
              </w:rPr>
            </w:pPr>
            <w:r w:rsidRPr="00122B42">
              <w:rPr>
                <w:rFonts w:ascii="Garamond" w:hAnsi="Garamond"/>
                <w:sz w:val="18"/>
                <w:szCs w:val="22"/>
              </w:rPr>
              <w:t>2013</w:t>
            </w:r>
          </w:p>
        </w:tc>
      </w:tr>
      <w:tr w:rsidR="001D627F" w:rsidTr="00E745D1">
        <w:tc>
          <w:tcPr>
            <w:tcW w:w="817" w:type="dxa"/>
          </w:tcPr>
          <w:p w:rsidR="001D627F" w:rsidRPr="00122B42" w:rsidRDefault="001D627F" w:rsidP="00CB3322">
            <w:pPr>
              <w:jc w:val="both"/>
              <w:rPr>
                <w:rFonts w:ascii="Garamond" w:hAnsi="Garamond"/>
                <w:sz w:val="18"/>
                <w:szCs w:val="22"/>
              </w:rPr>
            </w:pPr>
            <w:r w:rsidRPr="00122B42">
              <w:rPr>
                <w:rFonts w:ascii="Garamond" w:hAnsi="Garamond"/>
                <w:sz w:val="18"/>
                <w:szCs w:val="22"/>
              </w:rPr>
              <w:t>Szprot</w:t>
            </w:r>
          </w:p>
        </w:tc>
        <w:tc>
          <w:tcPr>
            <w:tcW w:w="1701" w:type="dxa"/>
          </w:tcPr>
          <w:p w:rsidR="001D627F" w:rsidRPr="00122B42" w:rsidRDefault="00BB512A" w:rsidP="00BB512A">
            <w:pPr>
              <w:jc w:val="right"/>
              <w:rPr>
                <w:rFonts w:ascii="Garamond" w:hAnsi="Garamond"/>
                <w:sz w:val="18"/>
                <w:szCs w:val="22"/>
              </w:rPr>
            </w:pPr>
            <w:r w:rsidRPr="00122B42">
              <w:rPr>
                <w:rFonts w:ascii="Garamond" w:hAnsi="Garamond"/>
                <w:sz w:val="18"/>
                <w:szCs w:val="22"/>
              </w:rPr>
              <w:t>38 759,9</w:t>
            </w:r>
          </w:p>
        </w:tc>
        <w:tc>
          <w:tcPr>
            <w:tcW w:w="1418" w:type="dxa"/>
          </w:tcPr>
          <w:p w:rsidR="001D627F" w:rsidRPr="00122B42" w:rsidRDefault="00BB512A" w:rsidP="00BB512A">
            <w:pPr>
              <w:jc w:val="right"/>
              <w:rPr>
                <w:rFonts w:ascii="Garamond" w:hAnsi="Garamond"/>
                <w:sz w:val="18"/>
                <w:szCs w:val="22"/>
              </w:rPr>
            </w:pPr>
            <w:r w:rsidRPr="00122B42">
              <w:rPr>
                <w:rFonts w:ascii="Garamond" w:hAnsi="Garamond"/>
                <w:sz w:val="18"/>
                <w:szCs w:val="22"/>
              </w:rPr>
              <w:t>139,1</w:t>
            </w:r>
          </w:p>
        </w:tc>
        <w:tc>
          <w:tcPr>
            <w:tcW w:w="850" w:type="dxa"/>
          </w:tcPr>
          <w:p w:rsidR="001D627F" w:rsidRPr="00122B42" w:rsidRDefault="00BB512A" w:rsidP="00BB512A">
            <w:pPr>
              <w:jc w:val="right"/>
              <w:rPr>
                <w:rFonts w:ascii="Garamond" w:hAnsi="Garamond"/>
                <w:sz w:val="18"/>
                <w:szCs w:val="22"/>
              </w:rPr>
            </w:pPr>
            <w:r w:rsidRPr="00122B42">
              <w:rPr>
                <w:rFonts w:ascii="Garamond" w:hAnsi="Garamond"/>
                <w:sz w:val="18"/>
                <w:szCs w:val="22"/>
              </w:rPr>
              <w:t>75,5</w:t>
            </w:r>
          </w:p>
        </w:tc>
        <w:tc>
          <w:tcPr>
            <w:tcW w:w="851" w:type="dxa"/>
          </w:tcPr>
          <w:p w:rsidR="001D627F" w:rsidRPr="00122B42" w:rsidRDefault="00BB512A" w:rsidP="00BB512A">
            <w:pPr>
              <w:jc w:val="right"/>
              <w:rPr>
                <w:rFonts w:ascii="Garamond" w:hAnsi="Garamond"/>
                <w:sz w:val="18"/>
                <w:szCs w:val="22"/>
              </w:rPr>
            </w:pPr>
            <w:r w:rsidRPr="00122B42">
              <w:rPr>
                <w:rFonts w:ascii="Garamond" w:hAnsi="Garamond"/>
                <w:sz w:val="18"/>
                <w:szCs w:val="22"/>
              </w:rPr>
              <w:t>76,4</w:t>
            </w:r>
          </w:p>
        </w:tc>
        <w:tc>
          <w:tcPr>
            <w:tcW w:w="850" w:type="dxa"/>
          </w:tcPr>
          <w:p w:rsidR="001D627F" w:rsidRPr="00122B42" w:rsidRDefault="00BB512A" w:rsidP="00BB512A">
            <w:pPr>
              <w:jc w:val="right"/>
              <w:rPr>
                <w:rFonts w:ascii="Garamond" w:hAnsi="Garamond"/>
                <w:sz w:val="18"/>
                <w:szCs w:val="22"/>
              </w:rPr>
            </w:pPr>
            <w:r w:rsidRPr="00122B42">
              <w:rPr>
                <w:rFonts w:ascii="Garamond" w:hAnsi="Garamond"/>
                <w:sz w:val="18"/>
                <w:szCs w:val="22"/>
              </w:rPr>
              <w:t>78,0</w:t>
            </w:r>
          </w:p>
        </w:tc>
        <w:tc>
          <w:tcPr>
            <w:tcW w:w="851" w:type="dxa"/>
          </w:tcPr>
          <w:p w:rsidR="001D627F" w:rsidRPr="00122B42" w:rsidRDefault="00BB512A" w:rsidP="00BB512A">
            <w:pPr>
              <w:jc w:val="right"/>
              <w:rPr>
                <w:rFonts w:ascii="Garamond" w:hAnsi="Garamond"/>
                <w:sz w:val="18"/>
                <w:szCs w:val="22"/>
              </w:rPr>
            </w:pPr>
            <w:r w:rsidRPr="00122B42">
              <w:rPr>
                <w:rFonts w:ascii="Garamond" w:hAnsi="Garamond"/>
                <w:sz w:val="18"/>
                <w:szCs w:val="22"/>
              </w:rPr>
              <w:t>71,1</w:t>
            </w:r>
          </w:p>
        </w:tc>
        <w:tc>
          <w:tcPr>
            <w:tcW w:w="975" w:type="dxa"/>
          </w:tcPr>
          <w:p w:rsidR="001D627F" w:rsidRPr="00122B42" w:rsidRDefault="00BB512A" w:rsidP="00BB512A">
            <w:pPr>
              <w:jc w:val="right"/>
              <w:rPr>
                <w:rFonts w:ascii="Garamond" w:hAnsi="Garamond"/>
                <w:sz w:val="18"/>
                <w:szCs w:val="22"/>
              </w:rPr>
            </w:pPr>
            <w:r w:rsidRPr="00122B42">
              <w:rPr>
                <w:rFonts w:ascii="Garamond" w:hAnsi="Garamond"/>
                <w:sz w:val="18"/>
                <w:szCs w:val="22"/>
              </w:rPr>
              <w:t>46,3</w:t>
            </w:r>
          </w:p>
        </w:tc>
        <w:tc>
          <w:tcPr>
            <w:tcW w:w="975" w:type="dxa"/>
          </w:tcPr>
          <w:p w:rsidR="001D627F" w:rsidRPr="00122B42" w:rsidRDefault="00BB512A" w:rsidP="00BB512A">
            <w:pPr>
              <w:jc w:val="right"/>
              <w:rPr>
                <w:rFonts w:ascii="Garamond" w:hAnsi="Garamond"/>
                <w:sz w:val="18"/>
                <w:szCs w:val="22"/>
              </w:rPr>
            </w:pPr>
            <w:r w:rsidRPr="00122B42">
              <w:rPr>
                <w:rFonts w:ascii="Garamond" w:hAnsi="Garamond"/>
                <w:sz w:val="18"/>
                <w:szCs w:val="22"/>
              </w:rPr>
              <w:t>47,9</w:t>
            </w:r>
          </w:p>
        </w:tc>
      </w:tr>
      <w:tr w:rsidR="001D627F" w:rsidTr="00E745D1">
        <w:tc>
          <w:tcPr>
            <w:tcW w:w="817" w:type="dxa"/>
          </w:tcPr>
          <w:p w:rsidR="001D627F" w:rsidRPr="00122B42" w:rsidRDefault="001D627F" w:rsidP="00CB3322">
            <w:pPr>
              <w:jc w:val="both"/>
              <w:rPr>
                <w:rFonts w:ascii="Garamond" w:hAnsi="Garamond"/>
                <w:sz w:val="18"/>
                <w:szCs w:val="22"/>
              </w:rPr>
            </w:pPr>
            <w:r w:rsidRPr="00122B42">
              <w:rPr>
                <w:rFonts w:ascii="Garamond" w:hAnsi="Garamond"/>
                <w:sz w:val="18"/>
                <w:szCs w:val="22"/>
              </w:rPr>
              <w:t>Śledź</w:t>
            </w:r>
          </w:p>
        </w:tc>
        <w:tc>
          <w:tcPr>
            <w:tcW w:w="1701" w:type="dxa"/>
          </w:tcPr>
          <w:p w:rsidR="001D627F" w:rsidRPr="00122B42" w:rsidRDefault="00BB512A" w:rsidP="00BB512A">
            <w:pPr>
              <w:jc w:val="right"/>
              <w:rPr>
                <w:rFonts w:ascii="Garamond" w:hAnsi="Garamond"/>
                <w:sz w:val="18"/>
                <w:szCs w:val="22"/>
              </w:rPr>
            </w:pPr>
            <w:r w:rsidRPr="00122B42">
              <w:rPr>
                <w:rFonts w:ascii="Garamond" w:hAnsi="Garamond"/>
                <w:sz w:val="18"/>
                <w:szCs w:val="22"/>
              </w:rPr>
              <w:t>6 609,1</w:t>
            </w:r>
          </w:p>
        </w:tc>
        <w:tc>
          <w:tcPr>
            <w:tcW w:w="1418" w:type="dxa"/>
          </w:tcPr>
          <w:p w:rsidR="001D627F" w:rsidRPr="00122B42" w:rsidRDefault="00BB512A" w:rsidP="00BB512A">
            <w:pPr>
              <w:jc w:val="right"/>
              <w:rPr>
                <w:rFonts w:ascii="Garamond" w:hAnsi="Garamond"/>
                <w:sz w:val="18"/>
                <w:szCs w:val="22"/>
              </w:rPr>
            </w:pPr>
            <w:r w:rsidRPr="00122B42">
              <w:rPr>
                <w:rFonts w:ascii="Garamond" w:hAnsi="Garamond"/>
                <w:sz w:val="18"/>
                <w:szCs w:val="22"/>
              </w:rPr>
              <w:t>156,2</w:t>
            </w:r>
          </w:p>
        </w:tc>
        <w:tc>
          <w:tcPr>
            <w:tcW w:w="850" w:type="dxa"/>
          </w:tcPr>
          <w:p w:rsidR="001D627F" w:rsidRPr="00122B42" w:rsidRDefault="00BB512A" w:rsidP="00BB512A">
            <w:pPr>
              <w:jc w:val="right"/>
              <w:rPr>
                <w:rFonts w:ascii="Garamond" w:hAnsi="Garamond"/>
                <w:sz w:val="18"/>
                <w:szCs w:val="22"/>
              </w:rPr>
            </w:pPr>
            <w:r w:rsidRPr="00122B42">
              <w:rPr>
                <w:rFonts w:ascii="Garamond" w:hAnsi="Garamond"/>
                <w:sz w:val="18"/>
                <w:szCs w:val="22"/>
              </w:rPr>
              <w:t>11,4</w:t>
            </w:r>
          </w:p>
        </w:tc>
        <w:tc>
          <w:tcPr>
            <w:tcW w:w="851" w:type="dxa"/>
          </w:tcPr>
          <w:p w:rsidR="001D627F" w:rsidRPr="00122B42" w:rsidRDefault="00BB512A" w:rsidP="00BB512A">
            <w:pPr>
              <w:jc w:val="right"/>
              <w:rPr>
                <w:rFonts w:ascii="Garamond" w:hAnsi="Garamond"/>
                <w:sz w:val="18"/>
                <w:szCs w:val="22"/>
              </w:rPr>
            </w:pPr>
            <w:r w:rsidRPr="00122B42">
              <w:rPr>
                <w:rFonts w:ascii="Garamond" w:hAnsi="Garamond"/>
                <w:sz w:val="18"/>
                <w:szCs w:val="22"/>
              </w:rPr>
              <w:t>13,0</w:t>
            </w:r>
          </w:p>
        </w:tc>
        <w:tc>
          <w:tcPr>
            <w:tcW w:w="850" w:type="dxa"/>
          </w:tcPr>
          <w:p w:rsidR="001D627F" w:rsidRPr="00122B42" w:rsidRDefault="00BB512A" w:rsidP="00BB512A">
            <w:pPr>
              <w:jc w:val="right"/>
              <w:rPr>
                <w:rFonts w:ascii="Garamond" w:hAnsi="Garamond"/>
                <w:sz w:val="18"/>
                <w:szCs w:val="22"/>
              </w:rPr>
            </w:pPr>
            <w:r w:rsidRPr="00122B42">
              <w:rPr>
                <w:rFonts w:ascii="Garamond" w:hAnsi="Garamond"/>
                <w:sz w:val="18"/>
                <w:szCs w:val="22"/>
              </w:rPr>
              <w:t>52,7</w:t>
            </w:r>
          </w:p>
        </w:tc>
        <w:tc>
          <w:tcPr>
            <w:tcW w:w="851" w:type="dxa"/>
          </w:tcPr>
          <w:p w:rsidR="001D627F" w:rsidRPr="00122B42" w:rsidRDefault="00BB512A" w:rsidP="00BB512A">
            <w:pPr>
              <w:jc w:val="right"/>
              <w:rPr>
                <w:rFonts w:ascii="Garamond" w:hAnsi="Garamond"/>
                <w:sz w:val="18"/>
                <w:szCs w:val="22"/>
              </w:rPr>
            </w:pPr>
            <w:r w:rsidRPr="00122B42">
              <w:rPr>
                <w:rFonts w:ascii="Garamond" w:hAnsi="Garamond"/>
                <w:sz w:val="18"/>
                <w:szCs w:val="22"/>
              </w:rPr>
              <w:t>60,4</w:t>
            </w:r>
          </w:p>
        </w:tc>
        <w:tc>
          <w:tcPr>
            <w:tcW w:w="975" w:type="dxa"/>
          </w:tcPr>
          <w:p w:rsidR="001D627F" w:rsidRPr="00122B42" w:rsidRDefault="00BB512A" w:rsidP="00BB512A">
            <w:pPr>
              <w:jc w:val="right"/>
              <w:rPr>
                <w:rFonts w:ascii="Garamond" w:hAnsi="Garamond"/>
                <w:sz w:val="18"/>
                <w:szCs w:val="22"/>
              </w:rPr>
            </w:pPr>
            <w:r w:rsidRPr="00122B42">
              <w:rPr>
                <w:rFonts w:ascii="Garamond" w:hAnsi="Garamond"/>
                <w:sz w:val="18"/>
                <w:szCs w:val="22"/>
              </w:rPr>
              <w:t>19,2</w:t>
            </w:r>
          </w:p>
        </w:tc>
        <w:tc>
          <w:tcPr>
            <w:tcW w:w="975" w:type="dxa"/>
          </w:tcPr>
          <w:p w:rsidR="001D627F" w:rsidRPr="00122B42" w:rsidRDefault="00BB512A" w:rsidP="00BB512A">
            <w:pPr>
              <w:jc w:val="right"/>
              <w:rPr>
                <w:rFonts w:ascii="Garamond" w:hAnsi="Garamond"/>
                <w:sz w:val="18"/>
                <w:szCs w:val="22"/>
              </w:rPr>
            </w:pPr>
            <w:r w:rsidRPr="00122B42">
              <w:rPr>
                <w:rFonts w:ascii="Garamond" w:hAnsi="Garamond"/>
                <w:sz w:val="18"/>
                <w:szCs w:val="22"/>
              </w:rPr>
              <w:t>28,0</w:t>
            </w:r>
          </w:p>
        </w:tc>
      </w:tr>
      <w:tr w:rsidR="001D627F" w:rsidTr="00E745D1">
        <w:tc>
          <w:tcPr>
            <w:tcW w:w="817" w:type="dxa"/>
          </w:tcPr>
          <w:p w:rsidR="001D627F" w:rsidRPr="00122B42" w:rsidRDefault="001D627F" w:rsidP="00CB3322">
            <w:pPr>
              <w:jc w:val="both"/>
              <w:rPr>
                <w:rFonts w:ascii="Garamond" w:hAnsi="Garamond"/>
                <w:sz w:val="18"/>
                <w:szCs w:val="22"/>
              </w:rPr>
            </w:pPr>
            <w:r w:rsidRPr="00122B42">
              <w:rPr>
                <w:rFonts w:ascii="Garamond" w:hAnsi="Garamond"/>
                <w:sz w:val="18"/>
                <w:szCs w:val="22"/>
              </w:rPr>
              <w:t>Dorsz</w:t>
            </w:r>
          </w:p>
        </w:tc>
        <w:tc>
          <w:tcPr>
            <w:tcW w:w="1701" w:type="dxa"/>
          </w:tcPr>
          <w:p w:rsidR="001D627F" w:rsidRPr="00122B42" w:rsidRDefault="00BB512A" w:rsidP="00BB512A">
            <w:pPr>
              <w:jc w:val="right"/>
              <w:rPr>
                <w:rFonts w:ascii="Garamond" w:hAnsi="Garamond"/>
                <w:sz w:val="18"/>
                <w:szCs w:val="22"/>
              </w:rPr>
            </w:pPr>
            <w:r w:rsidRPr="00122B42">
              <w:rPr>
                <w:rFonts w:ascii="Garamond" w:hAnsi="Garamond"/>
                <w:sz w:val="18"/>
                <w:szCs w:val="22"/>
              </w:rPr>
              <w:t>3 938,6</w:t>
            </w:r>
          </w:p>
        </w:tc>
        <w:tc>
          <w:tcPr>
            <w:tcW w:w="1418" w:type="dxa"/>
          </w:tcPr>
          <w:p w:rsidR="001D627F" w:rsidRPr="00122B42" w:rsidRDefault="00BB512A" w:rsidP="00BB512A">
            <w:pPr>
              <w:jc w:val="right"/>
              <w:rPr>
                <w:rFonts w:ascii="Garamond" w:hAnsi="Garamond"/>
                <w:sz w:val="18"/>
                <w:szCs w:val="22"/>
              </w:rPr>
            </w:pPr>
            <w:r w:rsidRPr="00122B42">
              <w:rPr>
                <w:rFonts w:ascii="Garamond" w:hAnsi="Garamond"/>
                <w:sz w:val="18"/>
                <w:szCs w:val="22"/>
              </w:rPr>
              <w:t>123,1</w:t>
            </w:r>
          </w:p>
        </w:tc>
        <w:tc>
          <w:tcPr>
            <w:tcW w:w="850" w:type="dxa"/>
          </w:tcPr>
          <w:p w:rsidR="001D627F" w:rsidRPr="00122B42" w:rsidRDefault="00BB512A" w:rsidP="00BB512A">
            <w:pPr>
              <w:jc w:val="right"/>
              <w:rPr>
                <w:rFonts w:ascii="Garamond" w:hAnsi="Garamond"/>
                <w:sz w:val="18"/>
                <w:szCs w:val="22"/>
              </w:rPr>
            </w:pPr>
            <w:r w:rsidRPr="00122B42">
              <w:rPr>
                <w:rFonts w:ascii="Garamond" w:hAnsi="Garamond"/>
                <w:sz w:val="18"/>
                <w:szCs w:val="22"/>
              </w:rPr>
              <w:t>8,7</w:t>
            </w:r>
          </w:p>
        </w:tc>
        <w:tc>
          <w:tcPr>
            <w:tcW w:w="851" w:type="dxa"/>
          </w:tcPr>
          <w:p w:rsidR="001D627F" w:rsidRPr="00122B42" w:rsidRDefault="00BB512A" w:rsidP="00BB512A">
            <w:pPr>
              <w:jc w:val="right"/>
              <w:rPr>
                <w:rFonts w:ascii="Garamond" w:hAnsi="Garamond"/>
                <w:sz w:val="18"/>
                <w:szCs w:val="22"/>
              </w:rPr>
            </w:pPr>
            <w:r w:rsidRPr="00122B42">
              <w:rPr>
                <w:rFonts w:ascii="Garamond" w:hAnsi="Garamond"/>
                <w:sz w:val="18"/>
                <w:szCs w:val="22"/>
              </w:rPr>
              <w:t>7,8</w:t>
            </w:r>
          </w:p>
        </w:tc>
        <w:tc>
          <w:tcPr>
            <w:tcW w:w="850" w:type="dxa"/>
          </w:tcPr>
          <w:p w:rsidR="001D627F" w:rsidRPr="00122B42" w:rsidRDefault="00BB512A" w:rsidP="00BB512A">
            <w:pPr>
              <w:jc w:val="right"/>
              <w:rPr>
                <w:rFonts w:ascii="Garamond" w:hAnsi="Garamond"/>
                <w:sz w:val="18"/>
                <w:szCs w:val="22"/>
              </w:rPr>
            </w:pPr>
            <w:r w:rsidRPr="00122B42">
              <w:rPr>
                <w:rFonts w:ascii="Garamond" w:hAnsi="Garamond"/>
                <w:sz w:val="18"/>
                <w:szCs w:val="22"/>
              </w:rPr>
              <w:t>48,9</w:t>
            </w:r>
          </w:p>
        </w:tc>
        <w:tc>
          <w:tcPr>
            <w:tcW w:w="851" w:type="dxa"/>
          </w:tcPr>
          <w:p w:rsidR="001D627F" w:rsidRPr="00122B42" w:rsidRDefault="00BB512A" w:rsidP="00BB512A">
            <w:pPr>
              <w:jc w:val="right"/>
              <w:rPr>
                <w:rFonts w:ascii="Garamond" w:hAnsi="Garamond"/>
                <w:sz w:val="18"/>
                <w:szCs w:val="22"/>
              </w:rPr>
            </w:pPr>
            <w:r w:rsidRPr="00122B42">
              <w:rPr>
                <w:rFonts w:ascii="Garamond" w:hAnsi="Garamond"/>
                <w:sz w:val="18"/>
                <w:szCs w:val="22"/>
              </w:rPr>
              <w:t>53,8</w:t>
            </w:r>
          </w:p>
        </w:tc>
        <w:tc>
          <w:tcPr>
            <w:tcW w:w="975" w:type="dxa"/>
          </w:tcPr>
          <w:p w:rsidR="001D627F" w:rsidRPr="00122B42" w:rsidRDefault="00BB512A" w:rsidP="00BB512A">
            <w:pPr>
              <w:jc w:val="right"/>
              <w:rPr>
                <w:rFonts w:ascii="Garamond" w:hAnsi="Garamond"/>
                <w:sz w:val="18"/>
                <w:szCs w:val="22"/>
              </w:rPr>
            </w:pPr>
            <w:r w:rsidRPr="00122B42">
              <w:rPr>
                <w:rFonts w:ascii="Garamond" w:hAnsi="Garamond"/>
                <w:sz w:val="18"/>
                <w:szCs w:val="22"/>
              </w:rPr>
              <w:t>29,2</w:t>
            </w:r>
          </w:p>
        </w:tc>
        <w:tc>
          <w:tcPr>
            <w:tcW w:w="975" w:type="dxa"/>
          </w:tcPr>
          <w:p w:rsidR="001D627F" w:rsidRPr="00122B42" w:rsidRDefault="00BB512A" w:rsidP="00BB512A">
            <w:pPr>
              <w:jc w:val="right"/>
              <w:rPr>
                <w:rFonts w:ascii="Garamond" w:hAnsi="Garamond"/>
                <w:sz w:val="18"/>
                <w:szCs w:val="22"/>
              </w:rPr>
            </w:pPr>
            <w:r w:rsidRPr="00122B42">
              <w:rPr>
                <w:rFonts w:ascii="Garamond" w:hAnsi="Garamond"/>
                <w:sz w:val="18"/>
                <w:szCs w:val="22"/>
              </w:rPr>
              <w:t>31,5</w:t>
            </w:r>
          </w:p>
        </w:tc>
      </w:tr>
      <w:tr w:rsidR="00BB512A" w:rsidTr="009E437A">
        <w:tc>
          <w:tcPr>
            <w:tcW w:w="817" w:type="dxa"/>
            <w:shd w:val="clear" w:color="auto" w:fill="D9D9D9" w:themeFill="background1" w:themeFillShade="D9"/>
          </w:tcPr>
          <w:p w:rsidR="00BB512A" w:rsidRPr="00122B42" w:rsidRDefault="00BB512A" w:rsidP="00CB3322">
            <w:pPr>
              <w:jc w:val="both"/>
              <w:rPr>
                <w:rFonts w:ascii="Garamond" w:hAnsi="Garamond"/>
                <w:sz w:val="18"/>
                <w:szCs w:val="22"/>
              </w:rPr>
            </w:pPr>
            <w:r w:rsidRPr="00122B42">
              <w:rPr>
                <w:rFonts w:ascii="Garamond" w:hAnsi="Garamond"/>
                <w:sz w:val="18"/>
                <w:szCs w:val="22"/>
              </w:rPr>
              <w:t>PL</w:t>
            </w:r>
            <w:r w:rsidR="0084492F" w:rsidRPr="00122B42">
              <w:rPr>
                <w:rFonts w:ascii="Garamond" w:hAnsi="Garamond"/>
                <w:sz w:val="18"/>
                <w:szCs w:val="22"/>
              </w:rPr>
              <w:t>GR</w:t>
            </w:r>
          </w:p>
        </w:tc>
        <w:tc>
          <w:tcPr>
            <w:tcW w:w="1701" w:type="dxa"/>
            <w:shd w:val="clear" w:color="auto" w:fill="D9D9D9" w:themeFill="background1" w:themeFillShade="D9"/>
          </w:tcPr>
          <w:p w:rsidR="00BB512A" w:rsidRPr="00122B42" w:rsidRDefault="0084492F" w:rsidP="00BB512A">
            <w:pPr>
              <w:jc w:val="right"/>
              <w:rPr>
                <w:rFonts w:ascii="Garamond" w:hAnsi="Garamond"/>
                <w:sz w:val="18"/>
                <w:szCs w:val="22"/>
              </w:rPr>
            </w:pPr>
            <w:r w:rsidRPr="00122B42">
              <w:rPr>
                <w:rFonts w:ascii="Garamond" w:hAnsi="Garamond"/>
                <w:sz w:val="18"/>
                <w:szCs w:val="22"/>
              </w:rPr>
              <w:t>50 722,3</w:t>
            </w:r>
          </w:p>
        </w:tc>
        <w:tc>
          <w:tcPr>
            <w:tcW w:w="1418" w:type="dxa"/>
            <w:shd w:val="clear" w:color="auto" w:fill="D9D9D9" w:themeFill="background1" w:themeFillShade="D9"/>
          </w:tcPr>
          <w:p w:rsidR="00BB512A" w:rsidRPr="00122B42" w:rsidRDefault="0084492F" w:rsidP="00BB512A">
            <w:pPr>
              <w:jc w:val="right"/>
              <w:rPr>
                <w:rFonts w:ascii="Garamond" w:hAnsi="Garamond"/>
                <w:sz w:val="18"/>
                <w:szCs w:val="22"/>
              </w:rPr>
            </w:pPr>
            <w:r w:rsidRPr="00122B42">
              <w:rPr>
                <w:rFonts w:ascii="Garamond" w:hAnsi="Garamond"/>
                <w:sz w:val="18"/>
                <w:szCs w:val="22"/>
              </w:rPr>
              <w:t>137,4</w:t>
            </w:r>
          </w:p>
        </w:tc>
        <w:tc>
          <w:tcPr>
            <w:tcW w:w="850" w:type="dxa"/>
            <w:shd w:val="clear" w:color="auto" w:fill="D9D9D9" w:themeFill="background1" w:themeFillShade="D9"/>
          </w:tcPr>
          <w:p w:rsidR="00BB512A" w:rsidRPr="00122B42" w:rsidRDefault="0084492F" w:rsidP="00BB512A">
            <w:pPr>
              <w:jc w:val="right"/>
              <w:rPr>
                <w:rFonts w:ascii="Garamond" w:hAnsi="Garamond"/>
                <w:sz w:val="18"/>
                <w:szCs w:val="22"/>
              </w:rPr>
            </w:pPr>
            <w:r w:rsidRPr="00122B42">
              <w:rPr>
                <w:rFonts w:ascii="Garamond" w:hAnsi="Garamond"/>
                <w:sz w:val="18"/>
                <w:szCs w:val="22"/>
              </w:rPr>
              <w:t>-</w:t>
            </w:r>
          </w:p>
        </w:tc>
        <w:tc>
          <w:tcPr>
            <w:tcW w:w="851" w:type="dxa"/>
            <w:shd w:val="clear" w:color="auto" w:fill="D9D9D9" w:themeFill="background1" w:themeFillShade="D9"/>
          </w:tcPr>
          <w:p w:rsidR="00BB512A" w:rsidRPr="00122B42" w:rsidRDefault="0084492F" w:rsidP="00BB512A">
            <w:pPr>
              <w:jc w:val="right"/>
              <w:rPr>
                <w:rFonts w:ascii="Garamond" w:hAnsi="Garamond"/>
                <w:sz w:val="18"/>
                <w:szCs w:val="22"/>
              </w:rPr>
            </w:pPr>
            <w:r w:rsidRPr="00122B42">
              <w:rPr>
                <w:rFonts w:ascii="Garamond" w:hAnsi="Garamond"/>
                <w:sz w:val="18"/>
                <w:szCs w:val="22"/>
              </w:rPr>
              <w:t>-</w:t>
            </w:r>
          </w:p>
        </w:tc>
        <w:tc>
          <w:tcPr>
            <w:tcW w:w="850" w:type="dxa"/>
            <w:shd w:val="clear" w:color="auto" w:fill="D9D9D9" w:themeFill="background1" w:themeFillShade="D9"/>
          </w:tcPr>
          <w:p w:rsidR="00BB512A" w:rsidRPr="00122B42" w:rsidRDefault="0084492F" w:rsidP="00BB512A">
            <w:pPr>
              <w:jc w:val="right"/>
              <w:rPr>
                <w:rFonts w:ascii="Garamond" w:hAnsi="Garamond"/>
                <w:sz w:val="18"/>
                <w:szCs w:val="22"/>
              </w:rPr>
            </w:pPr>
            <w:r w:rsidRPr="00122B42">
              <w:rPr>
                <w:rFonts w:ascii="Garamond" w:hAnsi="Garamond"/>
                <w:sz w:val="18"/>
                <w:szCs w:val="22"/>
              </w:rPr>
              <w:t>67,8</w:t>
            </w:r>
          </w:p>
        </w:tc>
        <w:tc>
          <w:tcPr>
            <w:tcW w:w="851" w:type="dxa"/>
            <w:shd w:val="clear" w:color="auto" w:fill="D9D9D9" w:themeFill="background1" w:themeFillShade="D9"/>
          </w:tcPr>
          <w:p w:rsidR="00BB512A" w:rsidRPr="00122B42" w:rsidRDefault="0084492F" w:rsidP="00BB512A">
            <w:pPr>
              <w:jc w:val="right"/>
              <w:rPr>
                <w:rFonts w:ascii="Garamond" w:hAnsi="Garamond"/>
                <w:sz w:val="18"/>
                <w:szCs w:val="22"/>
              </w:rPr>
            </w:pPr>
            <w:r w:rsidRPr="00122B42">
              <w:rPr>
                <w:rFonts w:ascii="Garamond" w:hAnsi="Garamond"/>
                <w:sz w:val="18"/>
                <w:szCs w:val="22"/>
              </w:rPr>
              <w:t>65,8</w:t>
            </w:r>
          </w:p>
        </w:tc>
        <w:tc>
          <w:tcPr>
            <w:tcW w:w="975" w:type="dxa"/>
            <w:shd w:val="clear" w:color="auto" w:fill="D9D9D9" w:themeFill="background1" w:themeFillShade="D9"/>
          </w:tcPr>
          <w:p w:rsidR="00BB512A" w:rsidRPr="00122B42" w:rsidRDefault="0084492F" w:rsidP="00BB512A">
            <w:pPr>
              <w:jc w:val="right"/>
              <w:rPr>
                <w:rFonts w:ascii="Garamond" w:hAnsi="Garamond"/>
                <w:sz w:val="18"/>
                <w:szCs w:val="22"/>
              </w:rPr>
            </w:pPr>
            <w:r w:rsidRPr="00122B42">
              <w:rPr>
                <w:rFonts w:ascii="Garamond" w:hAnsi="Garamond"/>
                <w:sz w:val="18"/>
                <w:szCs w:val="22"/>
              </w:rPr>
              <w:t>34,2</w:t>
            </w:r>
          </w:p>
        </w:tc>
        <w:tc>
          <w:tcPr>
            <w:tcW w:w="975" w:type="dxa"/>
            <w:shd w:val="clear" w:color="auto" w:fill="D9D9D9" w:themeFill="background1" w:themeFillShade="D9"/>
          </w:tcPr>
          <w:p w:rsidR="00BB512A" w:rsidRPr="00122B42" w:rsidRDefault="0084492F" w:rsidP="00BB512A">
            <w:pPr>
              <w:jc w:val="right"/>
              <w:rPr>
                <w:rFonts w:ascii="Garamond" w:hAnsi="Garamond"/>
                <w:sz w:val="18"/>
                <w:szCs w:val="22"/>
              </w:rPr>
            </w:pPr>
            <w:r w:rsidRPr="00122B42">
              <w:rPr>
                <w:rFonts w:ascii="Garamond" w:hAnsi="Garamond"/>
                <w:sz w:val="18"/>
                <w:szCs w:val="22"/>
              </w:rPr>
              <w:t>37,8</w:t>
            </w:r>
          </w:p>
        </w:tc>
      </w:tr>
    </w:tbl>
    <w:p w:rsidR="00C10337" w:rsidRDefault="00C10337" w:rsidP="00C10337">
      <w:pPr>
        <w:spacing w:line="240" w:lineRule="auto"/>
        <w:jc w:val="both"/>
        <w:rPr>
          <w:rFonts w:ascii="Garamond" w:hAnsi="Garamond"/>
          <w:i/>
          <w:szCs w:val="22"/>
        </w:rPr>
      </w:pPr>
      <w:r w:rsidRPr="006B66B3">
        <w:rPr>
          <w:rFonts w:ascii="Garamond" w:hAnsi="Garamond"/>
          <w:i/>
          <w:szCs w:val="22"/>
        </w:rPr>
        <w:t>Źródło: Opracowanie własne na podstawie danych M</w:t>
      </w:r>
      <w:r>
        <w:rPr>
          <w:rFonts w:ascii="Garamond" w:hAnsi="Garamond"/>
          <w:i/>
          <w:szCs w:val="22"/>
        </w:rPr>
        <w:t>orskiego Instytutu Rybackiego</w:t>
      </w:r>
      <w:r w:rsidR="000F200E">
        <w:rPr>
          <w:rFonts w:ascii="Garamond" w:hAnsi="Garamond"/>
          <w:i/>
          <w:szCs w:val="22"/>
        </w:rPr>
        <w:t xml:space="preserve"> w Gdyni</w:t>
      </w:r>
    </w:p>
    <w:p w:rsidR="00233D2D" w:rsidRDefault="00233D2D" w:rsidP="00233D2D">
      <w:pPr>
        <w:spacing w:before="240"/>
        <w:jc w:val="both"/>
        <w:rPr>
          <w:rFonts w:ascii="Garamond" w:hAnsi="Garamond"/>
          <w:sz w:val="22"/>
          <w:szCs w:val="22"/>
        </w:rPr>
      </w:pPr>
      <w:r>
        <w:rPr>
          <w:rFonts w:ascii="Garamond" w:hAnsi="Garamond"/>
          <w:sz w:val="22"/>
          <w:szCs w:val="22"/>
        </w:rPr>
        <w:t xml:space="preserve">Wzrost w połowach, przekłada się na silnie rozwinięty rybny sektor przetwórczy. </w:t>
      </w:r>
      <w:r w:rsidRPr="00233D2D">
        <w:rPr>
          <w:rFonts w:ascii="Garamond" w:hAnsi="Garamond"/>
          <w:sz w:val="22"/>
          <w:szCs w:val="22"/>
        </w:rPr>
        <w:t>Mimo spadku w latach 2007-2013, liczby przet</w:t>
      </w:r>
      <w:r>
        <w:rPr>
          <w:rFonts w:ascii="Garamond" w:hAnsi="Garamond"/>
          <w:sz w:val="22"/>
          <w:szCs w:val="22"/>
        </w:rPr>
        <w:t>w</w:t>
      </w:r>
      <w:r w:rsidRPr="00233D2D">
        <w:rPr>
          <w:rFonts w:ascii="Garamond" w:hAnsi="Garamond"/>
          <w:sz w:val="22"/>
          <w:szCs w:val="22"/>
        </w:rPr>
        <w:t>órni o 35,7%</w:t>
      </w:r>
      <w:r>
        <w:rPr>
          <w:rFonts w:ascii="Garamond" w:hAnsi="Garamond"/>
          <w:sz w:val="22"/>
          <w:szCs w:val="22"/>
        </w:rPr>
        <w:t xml:space="preserve"> (z 28 do 18)</w:t>
      </w:r>
      <w:r w:rsidRPr="00233D2D">
        <w:rPr>
          <w:rFonts w:ascii="Garamond" w:hAnsi="Garamond"/>
          <w:sz w:val="22"/>
          <w:szCs w:val="22"/>
        </w:rPr>
        <w:t xml:space="preserve">, </w:t>
      </w:r>
      <w:r w:rsidRPr="000D3723">
        <w:rPr>
          <w:rFonts w:ascii="Garamond" w:hAnsi="Garamond"/>
          <w:b/>
          <w:color w:val="7030A0"/>
          <w:sz w:val="22"/>
          <w:szCs w:val="22"/>
        </w:rPr>
        <w:t xml:space="preserve">produkcja sprzedana wyrobów </w:t>
      </w:r>
      <w:r w:rsidR="009C52DF">
        <w:rPr>
          <w:rFonts w:ascii="Garamond" w:hAnsi="Garamond"/>
          <w:b/>
          <w:color w:val="7030A0"/>
          <w:sz w:val="22"/>
          <w:szCs w:val="22"/>
        </w:rPr>
        <w:t xml:space="preserve">nieznacznie </w:t>
      </w:r>
      <w:r w:rsidRPr="000D3723">
        <w:rPr>
          <w:rFonts w:ascii="Garamond" w:hAnsi="Garamond"/>
          <w:b/>
          <w:color w:val="7030A0"/>
          <w:sz w:val="22"/>
          <w:szCs w:val="22"/>
        </w:rPr>
        <w:t>wzrosła</w:t>
      </w:r>
      <w:r w:rsidR="009C52DF">
        <w:rPr>
          <w:rFonts w:ascii="Garamond" w:hAnsi="Garamond"/>
          <w:sz w:val="22"/>
          <w:szCs w:val="22"/>
        </w:rPr>
        <w:t>.</w:t>
      </w:r>
      <w:r w:rsidR="000D3723">
        <w:rPr>
          <w:rFonts w:ascii="Garamond" w:hAnsi="Garamond"/>
          <w:sz w:val="22"/>
          <w:szCs w:val="22"/>
        </w:rPr>
        <w:t xml:space="preserve"> W 2013 r. przetwórnie zlokalizowane na obszarze PLGR stanowiły ¼ </w:t>
      </w:r>
      <w:r w:rsidR="009C52DF">
        <w:rPr>
          <w:rFonts w:ascii="Garamond" w:hAnsi="Garamond"/>
          <w:sz w:val="22"/>
          <w:szCs w:val="22"/>
        </w:rPr>
        <w:t>tego typu</w:t>
      </w:r>
      <w:r w:rsidR="000D3723">
        <w:rPr>
          <w:rFonts w:ascii="Garamond" w:hAnsi="Garamond"/>
          <w:sz w:val="22"/>
          <w:szCs w:val="22"/>
        </w:rPr>
        <w:t xml:space="preserve"> zakładów w regionie oraz 7,3% w kraju.</w:t>
      </w:r>
      <w:r w:rsidR="009C52DF">
        <w:rPr>
          <w:rFonts w:ascii="Garamond" w:hAnsi="Garamond"/>
          <w:sz w:val="22"/>
          <w:szCs w:val="22"/>
        </w:rPr>
        <w:t xml:space="preserve"> </w:t>
      </w:r>
      <w:r w:rsidR="000F200E">
        <w:rPr>
          <w:rFonts w:ascii="Garamond" w:hAnsi="Garamond"/>
          <w:sz w:val="22"/>
          <w:szCs w:val="22"/>
        </w:rPr>
        <w:t>Z szacunków Morskieg</w:t>
      </w:r>
      <w:r w:rsidR="00684A42">
        <w:rPr>
          <w:rFonts w:ascii="Garamond" w:hAnsi="Garamond"/>
          <w:sz w:val="22"/>
          <w:szCs w:val="22"/>
        </w:rPr>
        <w:t>o Instytutu Rybackiego w Gdyni</w:t>
      </w:r>
      <w:r w:rsidR="00684A42">
        <w:rPr>
          <w:rStyle w:val="Odwoanieprzypisudolnego"/>
          <w:rFonts w:ascii="Garamond" w:hAnsi="Garamond"/>
          <w:sz w:val="22"/>
          <w:szCs w:val="22"/>
        </w:rPr>
        <w:footnoteReference w:id="5"/>
      </w:r>
      <w:r w:rsidR="00684A42">
        <w:rPr>
          <w:rFonts w:ascii="Garamond" w:hAnsi="Garamond"/>
          <w:sz w:val="22"/>
          <w:szCs w:val="22"/>
        </w:rPr>
        <w:t xml:space="preserve"> wynika, że </w:t>
      </w:r>
      <w:r w:rsidR="000F200E">
        <w:rPr>
          <w:rFonts w:ascii="Garamond" w:hAnsi="Garamond"/>
          <w:sz w:val="22"/>
          <w:szCs w:val="22"/>
        </w:rPr>
        <w:t>s</w:t>
      </w:r>
      <w:r w:rsidR="009C52DF">
        <w:rPr>
          <w:rFonts w:ascii="Garamond" w:hAnsi="Garamond"/>
          <w:sz w:val="22"/>
          <w:szCs w:val="22"/>
        </w:rPr>
        <w:t>przedały one o 2,7% więcej produktów niż w 2007 r.</w:t>
      </w:r>
    </w:p>
    <w:p w:rsidR="00830709" w:rsidRDefault="00CC05CF" w:rsidP="00233D2D">
      <w:pPr>
        <w:spacing w:before="240"/>
        <w:jc w:val="both"/>
        <w:rPr>
          <w:rFonts w:ascii="Garamond" w:hAnsi="Garamond"/>
          <w:sz w:val="22"/>
          <w:szCs w:val="22"/>
        </w:rPr>
      </w:pPr>
      <w:r>
        <w:rPr>
          <w:rFonts w:ascii="Garamond" w:hAnsi="Garamond"/>
          <w:sz w:val="22"/>
          <w:szCs w:val="22"/>
        </w:rPr>
        <w:t xml:space="preserve">W latach 2007-2013 </w:t>
      </w:r>
      <w:r w:rsidRPr="007B3343">
        <w:rPr>
          <w:rFonts w:ascii="Garamond" w:hAnsi="Garamond"/>
          <w:b/>
          <w:color w:val="7030A0"/>
          <w:sz w:val="22"/>
          <w:szCs w:val="22"/>
        </w:rPr>
        <w:t>struktura produkcji sprzedanej znacznie się zmieniła</w:t>
      </w:r>
      <w:r>
        <w:rPr>
          <w:rFonts w:ascii="Garamond" w:hAnsi="Garamond"/>
          <w:sz w:val="22"/>
          <w:szCs w:val="22"/>
        </w:rPr>
        <w:t xml:space="preserve">. </w:t>
      </w:r>
      <w:r w:rsidR="00830709">
        <w:rPr>
          <w:rFonts w:ascii="Garamond" w:hAnsi="Garamond"/>
          <w:sz w:val="22"/>
          <w:szCs w:val="22"/>
        </w:rPr>
        <w:t>W 2013 r., dominowały ryby mrożone (45,4%</w:t>
      </w:r>
      <w:r>
        <w:rPr>
          <w:rFonts w:ascii="Garamond" w:hAnsi="Garamond"/>
          <w:sz w:val="22"/>
          <w:szCs w:val="22"/>
        </w:rPr>
        <w:t xml:space="preserve">, wzrost o 27,2 p proc.) oraz </w:t>
      </w:r>
      <w:r w:rsidR="00830709">
        <w:rPr>
          <w:rFonts w:ascii="Garamond" w:hAnsi="Garamond"/>
          <w:sz w:val="22"/>
          <w:szCs w:val="22"/>
        </w:rPr>
        <w:t>konserwy i prezerwy (29,5%</w:t>
      </w:r>
      <w:r>
        <w:rPr>
          <w:rFonts w:ascii="Garamond" w:hAnsi="Garamond"/>
          <w:sz w:val="22"/>
          <w:szCs w:val="22"/>
        </w:rPr>
        <w:t>, spadek o 2,9 p proc.</w:t>
      </w:r>
      <w:r w:rsidR="00830709">
        <w:rPr>
          <w:rFonts w:ascii="Garamond" w:hAnsi="Garamond"/>
          <w:sz w:val="22"/>
          <w:szCs w:val="22"/>
        </w:rPr>
        <w:t>).</w:t>
      </w:r>
      <w:r>
        <w:rPr>
          <w:rFonts w:ascii="Garamond" w:hAnsi="Garamond"/>
          <w:sz w:val="22"/>
          <w:szCs w:val="22"/>
        </w:rPr>
        <w:t xml:space="preserve"> </w:t>
      </w:r>
      <w:r w:rsidR="00830709">
        <w:rPr>
          <w:rFonts w:ascii="Garamond" w:hAnsi="Garamond"/>
          <w:sz w:val="22"/>
          <w:szCs w:val="22"/>
        </w:rPr>
        <w:t>Z kolei ryby wędzone stanowiły 12,4%</w:t>
      </w:r>
      <w:r>
        <w:rPr>
          <w:rFonts w:ascii="Garamond" w:hAnsi="Garamond"/>
          <w:sz w:val="22"/>
          <w:szCs w:val="22"/>
        </w:rPr>
        <w:t xml:space="preserve"> (wzrost o 4 p proc.)</w:t>
      </w:r>
      <w:r w:rsidR="00830709">
        <w:rPr>
          <w:rFonts w:ascii="Garamond" w:hAnsi="Garamond"/>
          <w:sz w:val="22"/>
          <w:szCs w:val="22"/>
        </w:rPr>
        <w:t>, świeże 11,5%</w:t>
      </w:r>
      <w:r>
        <w:rPr>
          <w:rFonts w:ascii="Garamond" w:hAnsi="Garamond"/>
          <w:sz w:val="22"/>
          <w:szCs w:val="22"/>
        </w:rPr>
        <w:t xml:space="preserve"> (spadek o 13,7 p proc.)</w:t>
      </w:r>
      <w:r w:rsidR="00830709">
        <w:rPr>
          <w:rFonts w:ascii="Garamond" w:hAnsi="Garamond"/>
          <w:sz w:val="22"/>
          <w:szCs w:val="22"/>
        </w:rPr>
        <w:t xml:space="preserve"> a marynaty i </w:t>
      </w:r>
      <w:proofErr w:type="spellStart"/>
      <w:r w:rsidR="00830709">
        <w:rPr>
          <w:rFonts w:ascii="Garamond" w:hAnsi="Garamond"/>
          <w:sz w:val="22"/>
          <w:szCs w:val="22"/>
        </w:rPr>
        <w:t>salinaty</w:t>
      </w:r>
      <w:proofErr w:type="spellEnd"/>
      <w:r w:rsidR="00830709">
        <w:rPr>
          <w:rFonts w:ascii="Garamond" w:hAnsi="Garamond"/>
          <w:sz w:val="22"/>
          <w:szCs w:val="22"/>
        </w:rPr>
        <w:t xml:space="preserve"> z pozostałymi produktami 1,2%</w:t>
      </w:r>
      <w:r>
        <w:rPr>
          <w:rFonts w:ascii="Garamond" w:hAnsi="Garamond"/>
          <w:sz w:val="22"/>
          <w:szCs w:val="22"/>
        </w:rPr>
        <w:t xml:space="preserve"> (spadek o 14,6 p proc.)</w:t>
      </w:r>
      <w:r w:rsidR="00830709">
        <w:rPr>
          <w:rFonts w:ascii="Garamond" w:hAnsi="Garamond"/>
          <w:sz w:val="22"/>
          <w:szCs w:val="22"/>
        </w:rPr>
        <w:t>.</w:t>
      </w:r>
    </w:p>
    <w:p w:rsidR="000D4BD7" w:rsidRDefault="000D4BD7" w:rsidP="00A35FDC">
      <w:pPr>
        <w:spacing w:before="240"/>
        <w:jc w:val="both"/>
        <w:rPr>
          <w:rFonts w:ascii="Garamond" w:hAnsi="Garamond"/>
          <w:sz w:val="22"/>
          <w:szCs w:val="22"/>
        </w:rPr>
      </w:pPr>
      <w:r w:rsidRPr="000D4BD7">
        <w:rPr>
          <w:rFonts w:ascii="Garamond" w:hAnsi="Garamond"/>
          <w:sz w:val="22"/>
          <w:szCs w:val="22"/>
        </w:rPr>
        <w:t xml:space="preserve">W latach 2007-2013 </w:t>
      </w:r>
      <w:r w:rsidRPr="006B1C2A">
        <w:rPr>
          <w:rFonts w:ascii="Garamond" w:hAnsi="Garamond"/>
          <w:b/>
          <w:color w:val="7030A0"/>
          <w:sz w:val="22"/>
          <w:szCs w:val="22"/>
        </w:rPr>
        <w:t>przy nieznacznym wzroście liczby wyładunków</w:t>
      </w:r>
      <w:r>
        <w:rPr>
          <w:rFonts w:ascii="Garamond" w:hAnsi="Garamond"/>
          <w:sz w:val="22"/>
          <w:szCs w:val="22"/>
        </w:rPr>
        <w:t xml:space="preserve"> w portach </w:t>
      </w:r>
      <w:r w:rsidR="00DB7E2E">
        <w:rPr>
          <w:rFonts w:ascii="Garamond" w:hAnsi="Garamond"/>
          <w:sz w:val="22"/>
          <w:szCs w:val="22"/>
        </w:rPr>
        <w:t xml:space="preserve">i przystaniach </w:t>
      </w:r>
      <w:r>
        <w:rPr>
          <w:rFonts w:ascii="Garamond" w:hAnsi="Garamond"/>
          <w:sz w:val="22"/>
          <w:szCs w:val="22"/>
        </w:rPr>
        <w:t>PLGR</w:t>
      </w:r>
      <w:r w:rsidRPr="000D4BD7">
        <w:rPr>
          <w:rFonts w:ascii="Garamond" w:hAnsi="Garamond"/>
          <w:sz w:val="22"/>
          <w:szCs w:val="22"/>
        </w:rPr>
        <w:t xml:space="preserve"> (o 1%), </w:t>
      </w:r>
      <w:r w:rsidR="006B1C2A" w:rsidRPr="006B1C2A">
        <w:rPr>
          <w:rFonts w:ascii="Garamond" w:hAnsi="Garamond"/>
          <w:b/>
          <w:color w:val="7030A0"/>
          <w:sz w:val="22"/>
          <w:szCs w:val="22"/>
        </w:rPr>
        <w:t>ich</w:t>
      </w:r>
      <w:r w:rsidRPr="000D4BD7">
        <w:rPr>
          <w:rFonts w:ascii="Garamond" w:hAnsi="Garamond"/>
          <w:sz w:val="22"/>
          <w:szCs w:val="22"/>
        </w:rPr>
        <w:t xml:space="preserve"> </w:t>
      </w:r>
      <w:r w:rsidRPr="006B1C2A">
        <w:rPr>
          <w:rFonts w:ascii="Garamond" w:hAnsi="Garamond"/>
          <w:b/>
          <w:color w:val="7030A0"/>
          <w:sz w:val="22"/>
          <w:szCs w:val="22"/>
        </w:rPr>
        <w:t xml:space="preserve">wielkość </w:t>
      </w:r>
      <w:r w:rsidR="0018386F">
        <w:rPr>
          <w:rFonts w:ascii="Garamond" w:hAnsi="Garamond"/>
          <w:b/>
          <w:color w:val="7030A0"/>
          <w:sz w:val="22"/>
          <w:szCs w:val="22"/>
        </w:rPr>
        <w:t xml:space="preserve">znacznie </w:t>
      </w:r>
      <w:r w:rsidRPr="006B1C2A">
        <w:rPr>
          <w:rFonts w:ascii="Garamond" w:hAnsi="Garamond"/>
          <w:b/>
          <w:color w:val="7030A0"/>
          <w:sz w:val="22"/>
          <w:szCs w:val="22"/>
        </w:rPr>
        <w:t>wzrosła</w:t>
      </w:r>
      <w:r w:rsidRPr="000D4BD7">
        <w:rPr>
          <w:rFonts w:ascii="Garamond" w:hAnsi="Garamond"/>
          <w:sz w:val="22"/>
          <w:szCs w:val="22"/>
        </w:rPr>
        <w:t xml:space="preserve"> o 42,5%. W 2013 r. w skali województwa </w:t>
      </w:r>
      <w:r w:rsidR="00DB7E2E">
        <w:rPr>
          <w:rFonts w:ascii="Garamond" w:hAnsi="Garamond"/>
          <w:sz w:val="22"/>
          <w:szCs w:val="22"/>
        </w:rPr>
        <w:t xml:space="preserve">ich </w:t>
      </w:r>
      <w:r w:rsidRPr="000D4BD7">
        <w:rPr>
          <w:rFonts w:ascii="Garamond" w:hAnsi="Garamond"/>
          <w:sz w:val="22"/>
          <w:szCs w:val="22"/>
        </w:rPr>
        <w:t xml:space="preserve">udział wyniósł odpowiednio 55,5% oraz 78,5% (w skali kraju 29,4% i 49,3%). W porównaniu do 2007 r., w </w:t>
      </w:r>
      <w:r w:rsidR="00884164">
        <w:rPr>
          <w:rFonts w:ascii="Garamond" w:hAnsi="Garamond"/>
          <w:sz w:val="22"/>
          <w:szCs w:val="22"/>
        </w:rPr>
        <w:t>obydwóch</w:t>
      </w:r>
      <w:r w:rsidRPr="000D4BD7">
        <w:rPr>
          <w:rFonts w:ascii="Garamond" w:hAnsi="Garamond"/>
          <w:sz w:val="22"/>
          <w:szCs w:val="22"/>
        </w:rPr>
        <w:t xml:space="preserve"> przypadk</w:t>
      </w:r>
      <w:r w:rsidR="00884164">
        <w:rPr>
          <w:rFonts w:ascii="Garamond" w:hAnsi="Garamond"/>
          <w:sz w:val="22"/>
          <w:szCs w:val="22"/>
        </w:rPr>
        <w:t>ach</w:t>
      </w:r>
      <w:r w:rsidRPr="000D4BD7">
        <w:rPr>
          <w:rFonts w:ascii="Garamond" w:hAnsi="Garamond"/>
          <w:sz w:val="22"/>
          <w:szCs w:val="22"/>
        </w:rPr>
        <w:t xml:space="preserve"> oznacza to kilku procentowy wzrost.</w:t>
      </w:r>
      <w:r w:rsidR="00B23797">
        <w:rPr>
          <w:rFonts w:ascii="Garamond" w:hAnsi="Garamond"/>
          <w:sz w:val="22"/>
          <w:szCs w:val="22"/>
        </w:rPr>
        <w:t xml:space="preserve"> Jednak w podziale na poszczególne porty, sytuacja wygląda zróżnicowanie.</w:t>
      </w:r>
      <w:r w:rsidR="00884164">
        <w:rPr>
          <w:rFonts w:ascii="Garamond" w:hAnsi="Garamond"/>
          <w:sz w:val="22"/>
          <w:szCs w:val="22"/>
        </w:rPr>
        <w:t xml:space="preserve"> Największe wzrosty odnotowano w portach, które mają niewielki znaczenie w globalnej wielkości wyładunków na obszarze PLGR. Są to miejscowości: Swarzewo (wzrost o 693,6%), Chałupy (wzrost o 633,3%), Dębki (wzrost o 257,4%).</w:t>
      </w:r>
      <w:r w:rsidR="00634721">
        <w:rPr>
          <w:rFonts w:ascii="Garamond" w:hAnsi="Garamond"/>
          <w:sz w:val="22"/>
          <w:szCs w:val="22"/>
        </w:rPr>
        <w:t xml:space="preserve"> Z kolei w Pucku i Rewie wielkość wyładunków zdecydowanie zmalała, odpowiednio o 73,0 i 63,2%.</w:t>
      </w:r>
      <w:r w:rsidR="00DC51E8">
        <w:rPr>
          <w:rFonts w:ascii="Garamond" w:hAnsi="Garamond"/>
          <w:sz w:val="22"/>
          <w:szCs w:val="22"/>
        </w:rPr>
        <w:t xml:space="preserve"> Pod względem wielkości wyładunków, największymi portami obszaru są Hel (72,3% przy 26,3% ogólnej liczby wyładunków) i Władysławowo (24,0% przy 17,3% w udziale wyładunków). Natomiast Jastarnia, mimo, że zajmuje 3. miejsce pod względem wielkości wyładunków (2,9%) to biorąc pod uwagę ich liczbę osiąga 2. pozycję (20,8%).</w:t>
      </w:r>
    </w:p>
    <w:p w:rsidR="00A35FDC" w:rsidRDefault="001E7358" w:rsidP="001E7358">
      <w:pPr>
        <w:jc w:val="both"/>
        <w:rPr>
          <w:rFonts w:ascii="Garamond" w:hAnsi="Garamond"/>
          <w:sz w:val="22"/>
          <w:szCs w:val="22"/>
        </w:rPr>
      </w:pPr>
      <w:r>
        <w:rPr>
          <w:rFonts w:ascii="Garamond" w:hAnsi="Garamond"/>
          <w:sz w:val="22"/>
          <w:szCs w:val="22"/>
        </w:rPr>
        <w:t xml:space="preserve">W przypadku branży związanej z rybołówstwem i przetwórstwem ważną kwestią są zasoby ludzkie. </w:t>
      </w:r>
      <w:r w:rsidR="00B90EAC">
        <w:rPr>
          <w:rFonts w:ascii="Garamond" w:hAnsi="Garamond"/>
          <w:sz w:val="22"/>
          <w:szCs w:val="22"/>
        </w:rPr>
        <w:t>Z szacunków Morskiego Instytutu Rybackiego w Gdynia wynika, że n</w:t>
      </w:r>
      <w:r>
        <w:rPr>
          <w:rFonts w:ascii="Garamond" w:hAnsi="Garamond"/>
          <w:sz w:val="22"/>
          <w:szCs w:val="22"/>
        </w:rPr>
        <w:t xml:space="preserve">a obszarze PLGR sytuacja wygląda nieco gorzej niż w Polsce. </w:t>
      </w:r>
      <w:r w:rsidR="00B90EAC" w:rsidRPr="0092273A">
        <w:rPr>
          <w:rFonts w:ascii="Garamond" w:hAnsi="Garamond"/>
          <w:b/>
          <w:color w:val="7030A0"/>
          <w:sz w:val="22"/>
          <w:szCs w:val="22"/>
        </w:rPr>
        <w:t xml:space="preserve">Zatrudnienie w rybołówstwie charakteryzuje się </w:t>
      </w:r>
      <w:r w:rsidRPr="0092273A">
        <w:rPr>
          <w:rFonts w:ascii="Garamond" w:hAnsi="Garamond"/>
          <w:b/>
          <w:color w:val="7030A0"/>
          <w:sz w:val="22"/>
          <w:szCs w:val="22"/>
        </w:rPr>
        <w:t>m</w:t>
      </w:r>
      <w:r w:rsidR="001460A1" w:rsidRPr="0092273A">
        <w:rPr>
          <w:rFonts w:ascii="Garamond" w:hAnsi="Garamond"/>
          <w:b/>
          <w:color w:val="7030A0"/>
          <w:sz w:val="22"/>
          <w:szCs w:val="22"/>
        </w:rPr>
        <w:t>niejszy</w:t>
      </w:r>
      <w:r w:rsidRPr="0092273A">
        <w:rPr>
          <w:rFonts w:ascii="Garamond" w:hAnsi="Garamond"/>
          <w:b/>
          <w:color w:val="7030A0"/>
          <w:sz w:val="22"/>
          <w:szCs w:val="22"/>
        </w:rPr>
        <w:t>m</w:t>
      </w:r>
      <w:r w:rsidR="001460A1" w:rsidRPr="0092273A">
        <w:rPr>
          <w:rFonts w:ascii="Garamond" w:hAnsi="Garamond"/>
          <w:b/>
          <w:color w:val="7030A0"/>
          <w:sz w:val="22"/>
          <w:szCs w:val="22"/>
        </w:rPr>
        <w:t xml:space="preserve"> udział</w:t>
      </w:r>
      <w:r w:rsidRPr="0092273A">
        <w:rPr>
          <w:rFonts w:ascii="Garamond" w:hAnsi="Garamond"/>
          <w:b/>
          <w:color w:val="7030A0"/>
          <w:sz w:val="22"/>
          <w:szCs w:val="22"/>
        </w:rPr>
        <w:t>em</w:t>
      </w:r>
      <w:r w:rsidR="001460A1" w:rsidRPr="0092273A">
        <w:rPr>
          <w:rFonts w:ascii="Garamond" w:hAnsi="Garamond"/>
          <w:b/>
          <w:color w:val="7030A0"/>
          <w:sz w:val="22"/>
          <w:szCs w:val="22"/>
        </w:rPr>
        <w:t xml:space="preserve"> osób młodych</w:t>
      </w:r>
      <w:r w:rsidR="001460A1" w:rsidRPr="001E7358">
        <w:rPr>
          <w:rFonts w:ascii="Garamond" w:hAnsi="Garamond"/>
          <w:sz w:val="22"/>
          <w:szCs w:val="22"/>
        </w:rPr>
        <w:t xml:space="preserve"> (do 30. r</w:t>
      </w:r>
      <w:r>
        <w:rPr>
          <w:rFonts w:ascii="Garamond" w:hAnsi="Garamond"/>
          <w:sz w:val="22"/>
          <w:szCs w:val="22"/>
        </w:rPr>
        <w:t xml:space="preserve">oku życia) niż średnio w Polsce (8,8% do 13,5) </w:t>
      </w:r>
      <w:r w:rsidRPr="0092273A">
        <w:rPr>
          <w:rFonts w:ascii="Garamond" w:hAnsi="Garamond"/>
          <w:b/>
          <w:color w:val="7030A0"/>
          <w:sz w:val="22"/>
          <w:szCs w:val="22"/>
        </w:rPr>
        <w:t>o</w:t>
      </w:r>
      <w:r w:rsidR="001460A1" w:rsidRPr="0092273A">
        <w:rPr>
          <w:rFonts w:ascii="Garamond" w:hAnsi="Garamond"/>
          <w:b/>
          <w:color w:val="7030A0"/>
          <w:sz w:val="22"/>
          <w:szCs w:val="22"/>
        </w:rPr>
        <w:t>raz większy</w:t>
      </w:r>
      <w:r w:rsidR="00D22FC3" w:rsidRPr="0092273A">
        <w:rPr>
          <w:rFonts w:ascii="Garamond" w:hAnsi="Garamond"/>
          <w:b/>
          <w:color w:val="7030A0"/>
          <w:sz w:val="22"/>
          <w:szCs w:val="22"/>
        </w:rPr>
        <w:t>m</w:t>
      </w:r>
      <w:r w:rsidR="001460A1" w:rsidRPr="0092273A">
        <w:rPr>
          <w:rFonts w:ascii="Garamond" w:hAnsi="Garamond"/>
          <w:b/>
          <w:color w:val="7030A0"/>
          <w:sz w:val="22"/>
          <w:szCs w:val="22"/>
        </w:rPr>
        <w:t xml:space="preserve"> osób starszych</w:t>
      </w:r>
      <w:r w:rsidR="001460A1" w:rsidRPr="0092273A">
        <w:rPr>
          <w:rFonts w:ascii="Garamond" w:hAnsi="Garamond"/>
          <w:color w:val="7030A0"/>
          <w:sz w:val="22"/>
          <w:szCs w:val="22"/>
        </w:rPr>
        <w:t xml:space="preserve"> </w:t>
      </w:r>
      <w:r w:rsidR="001460A1" w:rsidRPr="001E7358">
        <w:rPr>
          <w:rFonts w:ascii="Garamond" w:hAnsi="Garamond"/>
          <w:sz w:val="22"/>
          <w:szCs w:val="22"/>
        </w:rPr>
        <w:t>(powyżej 60 lat)</w:t>
      </w:r>
      <w:r w:rsidR="00D22FC3">
        <w:rPr>
          <w:rFonts w:ascii="Garamond" w:hAnsi="Garamond"/>
          <w:sz w:val="22"/>
          <w:szCs w:val="22"/>
        </w:rPr>
        <w:t xml:space="preserve"> (13,1% do 8,9%)</w:t>
      </w:r>
      <w:r w:rsidR="001460A1" w:rsidRPr="001E7358">
        <w:rPr>
          <w:rFonts w:ascii="Garamond" w:hAnsi="Garamond"/>
          <w:sz w:val="22"/>
          <w:szCs w:val="22"/>
        </w:rPr>
        <w:t>.</w:t>
      </w:r>
      <w:r w:rsidR="00B90EAC">
        <w:rPr>
          <w:rFonts w:ascii="Garamond" w:hAnsi="Garamond"/>
          <w:sz w:val="22"/>
          <w:szCs w:val="22"/>
        </w:rPr>
        <w:t xml:space="preserve"> Z kolei </w:t>
      </w:r>
      <w:r w:rsidR="00F64B8A">
        <w:rPr>
          <w:rFonts w:ascii="Garamond" w:hAnsi="Garamond"/>
          <w:sz w:val="22"/>
          <w:szCs w:val="22"/>
        </w:rPr>
        <w:t xml:space="preserve">w latach 2007-2013 </w:t>
      </w:r>
      <w:r w:rsidR="00F64B8A" w:rsidRPr="0092273A">
        <w:rPr>
          <w:rFonts w:ascii="Garamond" w:hAnsi="Garamond"/>
          <w:b/>
          <w:color w:val="7030A0"/>
          <w:sz w:val="22"/>
          <w:szCs w:val="22"/>
        </w:rPr>
        <w:t xml:space="preserve">liczba </w:t>
      </w:r>
      <w:r w:rsidR="00B90EAC" w:rsidRPr="0092273A">
        <w:rPr>
          <w:rFonts w:ascii="Garamond" w:hAnsi="Garamond"/>
          <w:b/>
          <w:color w:val="7030A0"/>
          <w:sz w:val="22"/>
          <w:szCs w:val="22"/>
        </w:rPr>
        <w:t>pracujących w przetwórstwie</w:t>
      </w:r>
      <w:r w:rsidR="00B90EAC" w:rsidRPr="0092273A">
        <w:rPr>
          <w:rFonts w:ascii="Garamond" w:hAnsi="Garamond"/>
          <w:color w:val="7030A0"/>
          <w:sz w:val="22"/>
          <w:szCs w:val="22"/>
        </w:rPr>
        <w:t xml:space="preserve"> </w:t>
      </w:r>
      <w:r w:rsidR="00B90EAC" w:rsidRPr="00B90EAC">
        <w:rPr>
          <w:rFonts w:ascii="Garamond" w:hAnsi="Garamond"/>
          <w:sz w:val="22"/>
          <w:szCs w:val="22"/>
        </w:rPr>
        <w:t>i konserwowaniu ryb i produktów rybołówstwa</w:t>
      </w:r>
      <w:r w:rsidR="00F64B8A">
        <w:rPr>
          <w:rFonts w:ascii="Garamond" w:hAnsi="Garamond"/>
          <w:sz w:val="22"/>
          <w:szCs w:val="22"/>
        </w:rPr>
        <w:t xml:space="preserve"> </w:t>
      </w:r>
      <w:r w:rsidR="008804A7">
        <w:rPr>
          <w:rFonts w:ascii="Garamond" w:hAnsi="Garamond"/>
          <w:sz w:val="22"/>
          <w:szCs w:val="22"/>
        </w:rPr>
        <w:t xml:space="preserve">zarówno na obszarze PLGR jak i w </w:t>
      </w:r>
      <w:r w:rsidR="008804A7" w:rsidRPr="0018386F">
        <w:rPr>
          <w:rFonts w:ascii="Garamond" w:hAnsi="Garamond"/>
          <w:sz w:val="22"/>
          <w:szCs w:val="22"/>
        </w:rPr>
        <w:t xml:space="preserve">regionie </w:t>
      </w:r>
      <w:r w:rsidR="00F64B8A" w:rsidRPr="0092273A">
        <w:rPr>
          <w:rFonts w:ascii="Garamond" w:hAnsi="Garamond"/>
          <w:b/>
          <w:color w:val="7030A0"/>
          <w:sz w:val="22"/>
          <w:szCs w:val="22"/>
        </w:rPr>
        <w:t>utrzymywała się na podobnym poziomie</w:t>
      </w:r>
      <w:r w:rsidR="00F64B8A">
        <w:rPr>
          <w:rFonts w:ascii="Garamond" w:hAnsi="Garamond"/>
          <w:sz w:val="22"/>
          <w:szCs w:val="22"/>
        </w:rPr>
        <w:t>. Jednak w związku ze wzrostem zatrudnienia w tej branży udział PLGR w kraju spa</w:t>
      </w:r>
      <w:r w:rsidR="0033123D">
        <w:rPr>
          <w:rFonts w:ascii="Garamond" w:hAnsi="Garamond"/>
          <w:sz w:val="22"/>
          <w:szCs w:val="22"/>
        </w:rPr>
        <w:t>dł, z 8,1% do 6,5%.</w:t>
      </w:r>
      <w:r w:rsidR="008804A7">
        <w:rPr>
          <w:rFonts w:ascii="Garamond" w:hAnsi="Garamond"/>
          <w:sz w:val="22"/>
          <w:szCs w:val="22"/>
        </w:rPr>
        <w:t xml:space="preserve"> Wśród pracujących w przetwórstwie cały czas dominują kobiety. Warto jednak zaznaczyć, że ich udział (59,6%) na obszarze PLGR jest mniejszy niż w regionie (66,1%) i kraju (63,0%). </w:t>
      </w:r>
    </w:p>
    <w:p w:rsidR="003F512A" w:rsidRDefault="003F512A" w:rsidP="001E7358">
      <w:pPr>
        <w:jc w:val="both"/>
        <w:rPr>
          <w:rFonts w:ascii="Garamond" w:hAnsi="Garamond"/>
          <w:sz w:val="22"/>
          <w:szCs w:val="22"/>
        </w:rPr>
      </w:pPr>
    </w:p>
    <w:p w:rsidR="003F512A" w:rsidRDefault="003F512A" w:rsidP="001E7358">
      <w:pPr>
        <w:jc w:val="both"/>
        <w:rPr>
          <w:rFonts w:ascii="Garamond" w:hAnsi="Garamond"/>
          <w:sz w:val="22"/>
          <w:szCs w:val="22"/>
        </w:rPr>
      </w:pPr>
    </w:p>
    <w:p w:rsidR="008804A7" w:rsidRPr="001E7358" w:rsidRDefault="008804A7" w:rsidP="001E7358">
      <w:pPr>
        <w:jc w:val="both"/>
        <w:rPr>
          <w:rFonts w:ascii="Garamond" w:hAnsi="Garamond"/>
          <w:sz w:val="22"/>
          <w:szCs w:val="22"/>
        </w:rPr>
      </w:pPr>
    </w:p>
    <w:p w:rsidR="00337FA8" w:rsidRPr="001008BD" w:rsidRDefault="00D354FF" w:rsidP="001008BD">
      <w:pPr>
        <w:shd w:val="clear" w:color="auto" w:fill="B2A1C7" w:themeFill="accent4" w:themeFillTint="99"/>
        <w:spacing w:after="0" w:line="240" w:lineRule="auto"/>
        <w:jc w:val="center"/>
        <w:rPr>
          <w:rFonts w:ascii="Garamond" w:hAnsi="Garamond"/>
          <w:b/>
          <w:sz w:val="22"/>
          <w:szCs w:val="22"/>
        </w:rPr>
      </w:pPr>
      <w:r>
        <w:rPr>
          <w:rFonts w:ascii="Garamond" w:hAnsi="Garamond"/>
          <w:b/>
          <w:sz w:val="22"/>
          <w:szCs w:val="22"/>
        </w:rPr>
        <w:t>TURYSTYKA</w:t>
      </w:r>
    </w:p>
    <w:p w:rsidR="00C42379" w:rsidRPr="00AA5213" w:rsidRDefault="00F466CF" w:rsidP="001008BD">
      <w:pPr>
        <w:spacing w:before="240"/>
        <w:jc w:val="both"/>
        <w:rPr>
          <w:rFonts w:ascii="Garamond" w:hAnsi="Garamond"/>
          <w:sz w:val="22"/>
          <w:szCs w:val="22"/>
        </w:rPr>
      </w:pPr>
      <w:r w:rsidRPr="00AA5213">
        <w:rPr>
          <w:rFonts w:ascii="Garamond" w:hAnsi="Garamond"/>
          <w:sz w:val="22"/>
          <w:szCs w:val="22"/>
        </w:rPr>
        <w:t>P</w:t>
      </w:r>
      <w:r w:rsidR="00081A79" w:rsidRPr="00AA5213">
        <w:rPr>
          <w:rFonts w:ascii="Garamond" w:hAnsi="Garamond"/>
          <w:sz w:val="22"/>
          <w:szCs w:val="22"/>
        </w:rPr>
        <w:t xml:space="preserve">rzywodne położenie </w:t>
      </w:r>
      <w:r w:rsidRPr="00AA5213">
        <w:rPr>
          <w:rFonts w:ascii="Garamond" w:hAnsi="Garamond"/>
          <w:sz w:val="22"/>
          <w:szCs w:val="22"/>
        </w:rPr>
        <w:t xml:space="preserve">obszaru PLGR </w:t>
      </w:r>
      <w:r w:rsidR="00081A79" w:rsidRPr="00AA5213">
        <w:rPr>
          <w:rFonts w:ascii="Garamond" w:hAnsi="Garamond"/>
          <w:sz w:val="22"/>
          <w:szCs w:val="22"/>
        </w:rPr>
        <w:t>i związane z</w:t>
      </w:r>
      <w:r w:rsidRPr="00AA5213">
        <w:rPr>
          <w:rFonts w:ascii="Garamond" w:hAnsi="Garamond"/>
          <w:sz w:val="22"/>
          <w:szCs w:val="22"/>
        </w:rPr>
        <w:t xml:space="preserve"> nim</w:t>
      </w:r>
      <w:r w:rsidR="00081A79" w:rsidRPr="00AA5213">
        <w:rPr>
          <w:rFonts w:ascii="Garamond" w:hAnsi="Garamond"/>
          <w:sz w:val="22"/>
          <w:szCs w:val="22"/>
        </w:rPr>
        <w:t xml:space="preserve"> </w:t>
      </w:r>
      <w:r w:rsidR="00081A79" w:rsidRPr="00AA5213">
        <w:rPr>
          <w:rFonts w:ascii="Garamond" w:hAnsi="Garamond" w:cs="Garamond"/>
          <w:sz w:val="22"/>
          <w:szCs w:val="22"/>
          <w:lang w:eastAsia="en-US"/>
        </w:rPr>
        <w:t>unikatowe środowisko i walory krajobrazowe,</w:t>
      </w:r>
      <w:r w:rsidR="00081A79" w:rsidRPr="00AA5213">
        <w:rPr>
          <w:rFonts w:ascii="Garamond" w:hAnsi="Garamond"/>
          <w:sz w:val="22"/>
          <w:szCs w:val="22"/>
        </w:rPr>
        <w:t xml:space="preserve"> </w:t>
      </w:r>
      <w:r w:rsidRPr="00AA5213">
        <w:rPr>
          <w:rFonts w:ascii="Garamond" w:hAnsi="Garamond"/>
          <w:sz w:val="22"/>
          <w:szCs w:val="22"/>
        </w:rPr>
        <w:t>sprzyjają</w:t>
      </w:r>
      <w:r w:rsidR="00081A79" w:rsidRPr="00AA5213">
        <w:rPr>
          <w:rFonts w:ascii="Garamond" w:hAnsi="Garamond"/>
          <w:sz w:val="22"/>
          <w:szCs w:val="22"/>
        </w:rPr>
        <w:t xml:space="preserve"> rozw</w:t>
      </w:r>
      <w:r w:rsidRPr="00AA5213">
        <w:rPr>
          <w:rFonts w:ascii="Garamond" w:hAnsi="Garamond"/>
          <w:sz w:val="22"/>
          <w:szCs w:val="22"/>
        </w:rPr>
        <w:t>ojowi</w:t>
      </w:r>
      <w:r w:rsidR="00081A79" w:rsidRPr="00AA5213">
        <w:rPr>
          <w:rFonts w:ascii="Garamond" w:hAnsi="Garamond"/>
          <w:sz w:val="22"/>
          <w:szCs w:val="22"/>
        </w:rPr>
        <w:t xml:space="preserve"> turystyk</w:t>
      </w:r>
      <w:r w:rsidRPr="00AA5213">
        <w:rPr>
          <w:rFonts w:ascii="Garamond" w:hAnsi="Garamond"/>
          <w:sz w:val="22"/>
          <w:szCs w:val="22"/>
        </w:rPr>
        <w:t>i</w:t>
      </w:r>
      <w:r w:rsidR="00081A79" w:rsidRPr="00AA5213">
        <w:rPr>
          <w:rFonts w:ascii="Garamond" w:hAnsi="Garamond"/>
          <w:sz w:val="22"/>
          <w:szCs w:val="22"/>
        </w:rPr>
        <w:t xml:space="preserve">. </w:t>
      </w:r>
      <w:r w:rsidR="00C42379" w:rsidRPr="00AA5213">
        <w:rPr>
          <w:rFonts w:ascii="Garamond" w:hAnsi="Garamond"/>
          <w:sz w:val="22"/>
          <w:szCs w:val="22"/>
        </w:rPr>
        <w:t xml:space="preserve">Potwierdza to również wspomniany już wskaźnik LQ. </w:t>
      </w:r>
      <w:r w:rsidR="00B46BE3" w:rsidRPr="00AA5213">
        <w:rPr>
          <w:rFonts w:ascii="Garamond" w:hAnsi="Garamond"/>
          <w:sz w:val="22"/>
          <w:szCs w:val="22"/>
        </w:rPr>
        <w:t>W 2013 r. d</w:t>
      </w:r>
      <w:r w:rsidR="00C42379" w:rsidRPr="00AA5213">
        <w:rPr>
          <w:rFonts w:ascii="Garamond" w:hAnsi="Garamond"/>
          <w:sz w:val="22"/>
          <w:szCs w:val="22"/>
        </w:rPr>
        <w:t>la działalności związanej z zakwaterowan</w:t>
      </w:r>
      <w:r w:rsidR="00B46BE3" w:rsidRPr="00AA5213">
        <w:rPr>
          <w:rFonts w:ascii="Garamond" w:hAnsi="Garamond"/>
          <w:sz w:val="22"/>
          <w:szCs w:val="22"/>
        </w:rPr>
        <w:t>iem i usługami gastronomicznymi wyniósł on 5,4.</w:t>
      </w:r>
    </w:p>
    <w:p w:rsidR="004360C0" w:rsidRPr="00AA5213" w:rsidRDefault="00081A79" w:rsidP="00C42379">
      <w:pPr>
        <w:jc w:val="both"/>
        <w:rPr>
          <w:rFonts w:ascii="Garamond" w:hAnsi="Garamond"/>
          <w:sz w:val="22"/>
          <w:szCs w:val="22"/>
        </w:rPr>
      </w:pPr>
      <w:r w:rsidRPr="00AA5213">
        <w:rPr>
          <w:rFonts w:ascii="Garamond" w:hAnsi="Garamond"/>
          <w:sz w:val="22"/>
          <w:szCs w:val="22"/>
        </w:rPr>
        <w:t>Pokazują to dane dotyczące przyrostu obiektów noclegowyc</w:t>
      </w:r>
      <w:r w:rsidR="00960B5D" w:rsidRPr="00AA5213">
        <w:rPr>
          <w:rFonts w:ascii="Garamond" w:hAnsi="Garamond"/>
          <w:sz w:val="22"/>
          <w:szCs w:val="22"/>
        </w:rPr>
        <w:t>h (między 2007 a 2013 r. 166,9%</w:t>
      </w:r>
      <w:r w:rsidR="00A37273" w:rsidRPr="00AA5213">
        <w:rPr>
          <w:rFonts w:ascii="Garamond" w:hAnsi="Garamond"/>
          <w:sz w:val="22"/>
          <w:szCs w:val="22"/>
        </w:rPr>
        <w:t>, przy średniej dla regionu 78,1% i kraju 45,5%</w:t>
      </w:r>
      <w:r w:rsidRPr="00AA5213">
        <w:rPr>
          <w:rFonts w:ascii="Garamond" w:hAnsi="Garamond"/>
          <w:sz w:val="22"/>
          <w:szCs w:val="22"/>
        </w:rPr>
        <w:t xml:space="preserve">), </w:t>
      </w:r>
      <w:r w:rsidR="00A37273" w:rsidRPr="00AA5213">
        <w:rPr>
          <w:rFonts w:ascii="Garamond" w:hAnsi="Garamond"/>
          <w:sz w:val="22"/>
          <w:szCs w:val="22"/>
        </w:rPr>
        <w:t>a w konsekwencji miejsc</w:t>
      </w:r>
      <w:r w:rsidR="00C01DF5" w:rsidRPr="00AA5213">
        <w:rPr>
          <w:rFonts w:ascii="Garamond" w:hAnsi="Garamond"/>
          <w:sz w:val="22"/>
          <w:szCs w:val="22"/>
        </w:rPr>
        <w:t xml:space="preserve"> noclegowych (odpowiednio 23,6%, 9,7% i 16,7%). Przełożyło się to na </w:t>
      </w:r>
      <w:r w:rsidR="00C50437" w:rsidRPr="00AA5213">
        <w:rPr>
          <w:rFonts w:ascii="Garamond" w:hAnsi="Garamond"/>
          <w:b/>
          <w:color w:val="7030A0"/>
          <w:sz w:val="22"/>
          <w:szCs w:val="22"/>
        </w:rPr>
        <w:t xml:space="preserve">znaczny wzrost </w:t>
      </w:r>
      <w:r w:rsidR="00ED16A8">
        <w:rPr>
          <w:rFonts w:ascii="Garamond" w:hAnsi="Garamond"/>
          <w:b/>
          <w:color w:val="7030A0"/>
          <w:sz w:val="22"/>
          <w:szCs w:val="22"/>
        </w:rPr>
        <w:t xml:space="preserve">liczby </w:t>
      </w:r>
      <w:r w:rsidR="00817C86" w:rsidRPr="00AA5213">
        <w:rPr>
          <w:rFonts w:ascii="Garamond" w:hAnsi="Garamond"/>
          <w:b/>
          <w:color w:val="7030A0"/>
          <w:sz w:val="22"/>
          <w:szCs w:val="22"/>
        </w:rPr>
        <w:t xml:space="preserve">osób </w:t>
      </w:r>
      <w:r w:rsidR="00C50437" w:rsidRPr="00AA5213">
        <w:rPr>
          <w:rFonts w:ascii="Garamond" w:hAnsi="Garamond"/>
          <w:b/>
          <w:color w:val="7030A0"/>
          <w:sz w:val="22"/>
          <w:szCs w:val="22"/>
        </w:rPr>
        <w:t>korzystających z noclegów</w:t>
      </w:r>
      <w:r w:rsidR="00C50437" w:rsidRPr="00AA5213">
        <w:rPr>
          <w:rFonts w:ascii="Garamond" w:hAnsi="Garamond"/>
          <w:sz w:val="22"/>
          <w:szCs w:val="22"/>
        </w:rPr>
        <w:t>.</w:t>
      </w:r>
      <w:r w:rsidR="00817C86" w:rsidRPr="00AA5213">
        <w:rPr>
          <w:rFonts w:ascii="Garamond" w:hAnsi="Garamond"/>
          <w:sz w:val="22"/>
          <w:szCs w:val="22"/>
        </w:rPr>
        <w:t xml:space="preserve"> W 2013 r. na omawianym obszarze </w:t>
      </w:r>
      <w:r w:rsidR="00CD3BA9" w:rsidRPr="00AA5213">
        <w:rPr>
          <w:rFonts w:ascii="Garamond" w:hAnsi="Garamond"/>
          <w:sz w:val="22"/>
          <w:szCs w:val="22"/>
        </w:rPr>
        <w:t>rezydowało 275,5 tys. osób, stanowiących 14</w:t>
      </w:r>
      <w:r w:rsidR="00960B5D" w:rsidRPr="00AA5213">
        <w:rPr>
          <w:rFonts w:ascii="Garamond" w:hAnsi="Garamond"/>
          <w:sz w:val="22"/>
          <w:szCs w:val="22"/>
        </w:rPr>
        <w:t>,0</w:t>
      </w:r>
      <w:r w:rsidR="00CD3BA9" w:rsidRPr="00AA5213">
        <w:rPr>
          <w:rFonts w:ascii="Garamond" w:hAnsi="Garamond"/>
          <w:sz w:val="22"/>
          <w:szCs w:val="22"/>
        </w:rPr>
        <w:t>% wszystkich turystów w regionie. W stosunku do 2007 r. oznacza to wzrost o 30,8%. W tym czasie w regionie liczba ta wzrosła o 24,6% a w kraju o 23,5%.</w:t>
      </w:r>
    </w:p>
    <w:p w:rsidR="00337FA8" w:rsidRDefault="00817C86" w:rsidP="0003087D">
      <w:pPr>
        <w:jc w:val="both"/>
        <w:rPr>
          <w:rFonts w:ascii="Garamond" w:hAnsi="Garamond"/>
          <w:sz w:val="22"/>
          <w:szCs w:val="22"/>
        </w:rPr>
      </w:pPr>
      <w:r w:rsidRPr="00AA5213">
        <w:rPr>
          <w:rFonts w:ascii="Garamond" w:hAnsi="Garamond"/>
          <w:sz w:val="22"/>
          <w:szCs w:val="22"/>
        </w:rPr>
        <w:t xml:space="preserve">Mimo wzrostu w województwie pomorskim oraz </w:t>
      </w:r>
      <w:r w:rsidR="00E65E98" w:rsidRPr="00AA5213">
        <w:rPr>
          <w:rFonts w:ascii="Garamond" w:hAnsi="Garamond"/>
          <w:sz w:val="22"/>
          <w:szCs w:val="22"/>
        </w:rPr>
        <w:t xml:space="preserve">w </w:t>
      </w:r>
      <w:r w:rsidRPr="00AA5213">
        <w:rPr>
          <w:rFonts w:ascii="Garamond" w:hAnsi="Garamond"/>
          <w:sz w:val="22"/>
          <w:szCs w:val="22"/>
        </w:rPr>
        <w:t>Polsce, na obszarze PLGR o</w:t>
      </w:r>
      <w:r w:rsidR="00C01DF5" w:rsidRPr="00AA5213">
        <w:rPr>
          <w:rFonts w:ascii="Garamond" w:hAnsi="Garamond"/>
          <w:sz w:val="22"/>
          <w:szCs w:val="22"/>
        </w:rPr>
        <w:t xml:space="preserve">dnotowano </w:t>
      </w:r>
      <w:r w:rsidRPr="00AA5213">
        <w:rPr>
          <w:rFonts w:ascii="Garamond" w:hAnsi="Garamond"/>
          <w:b/>
          <w:color w:val="7030A0"/>
          <w:sz w:val="22"/>
          <w:szCs w:val="22"/>
        </w:rPr>
        <w:t>s</w:t>
      </w:r>
      <w:r w:rsidR="00C01DF5" w:rsidRPr="00AA5213">
        <w:rPr>
          <w:rFonts w:ascii="Garamond" w:hAnsi="Garamond"/>
          <w:b/>
          <w:color w:val="7030A0"/>
          <w:sz w:val="22"/>
          <w:szCs w:val="22"/>
        </w:rPr>
        <w:t xml:space="preserve">padek liczby </w:t>
      </w:r>
      <w:r w:rsidRPr="00AA5213">
        <w:rPr>
          <w:rFonts w:ascii="Garamond" w:hAnsi="Garamond"/>
          <w:b/>
          <w:color w:val="7030A0"/>
          <w:sz w:val="22"/>
          <w:szCs w:val="22"/>
        </w:rPr>
        <w:t>turystów zagranicznych</w:t>
      </w:r>
      <w:r w:rsidRPr="00AA5213">
        <w:rPr>
          <w:rFonts w:ascii="Garamond" w:hAnsi="Garamond"/>
          <w:sz w:val="22"/>
          <w:szCs w:val="22"/>
        </w:rPr>
        <w:t xml:space="preserve"> </w:t>
      </w:r>
      <w:r w:rsidR="00C01DF5" w:rsidRPr="00AA5213">
        <w:rPr>
          <w:rFonts w:ascii="Garamond" w:hAnsi="Garamond"/>
          <w:sz w:val="22"/>
          <w:szCs w:val="22"/>
        </w:rPr>
        <w:t>korzystających z noclegów</w:t>
      </w:r>
      <w:r w:rsidRPr="00AA5213">
        <w:rPr>
          <w:rFonts w:ascii="Garamond" w:hAnsi="Garamond"/>
          <w:sz w:val="22"/>
          <w:szCs w:val="22"/>
        </w:rPr>
        <w:t xml:space="preserve"> (o 19%).</w:t>
      </w:r>
      <w:r w:rsidR="00C13F11">
        <w:rPr>
          <w:rFonts w:ascii="Garamond" w:hAnsi="Garamond"/>
          <w:sz w:val="22"/>
          <w:szCs w:val="22"/>
        </w:rPr>
        <w:t xml:space="preserve"> </w:t>
      </w:r>
    </w:p>
    <w:p w:rsidR="00206FD0" w:rsidRPr="00971BF6" w:rsidRDefault="00A80CE2" w:rsidP="00206FD0">
      <w:pPr>
        <w:jc w:val="both"/>
        <w:rPr>
          <w:rFonts w:ascii="Garamond" w:hAnsi="Garamond"/>
          <w:sz w:val="22"/>
          <w:szCs w:val="22"/>
        </w:rPr>
      </w:pPr>
      <w:r w:rsidRPr="00971BF6">
        <w:rPr>
          <w:rFonts w:ascii="Garamond" w:hAnsi="Garamond"/>
          <w:sz w:val="22"/>
          <w:szCs w:val="22"/>
        </w:rPr>
        <w:t>Ośrodki położone na Półwyspie Helskim i w Zatoce Puckiej (m.in. Jastarnia, Kuźnica, Hel, Puck) stanowią grupę małych portów i przystani morskich. Obszar ten posiada szczególne znaczenie dla aktywności turystycznej (sporty wodne), a porty i przystanie są jednocześnie miejscem stacjonowania floty rybackiej (</w:t>
      </w:r>
      <w:r w:rsidRPr="00971BF6">
        <w:rPr>
          <w:rFonts w:ascii="Garamond" w:hAnsi="Garamond"/>
          <w:i/>
          <w:sz w:val="22"/>
          <w:szCs w:val="22"/>
        </w:rPr>
        <w:t>Raport o stanie…,</w:t>
      </w:r>
      <w:r w:rsidR="00960B5D">
        <w:rPr>
          <w:rFonts w:ascii="Garamond" w:hAnsi="Garamond"/>
          <w:sz w:val="22"/>
          <w:szCs w:val="22"/>
        </w:rPr>
        <w:t xml:space="preserve"> 2014</w:t>
      </w:r>
      <w:r w:rsidRPr="00971BF6">
        <w:rPr>
          <w:rFonts w:ascii="Garamond" w:hAnsi="Garamond"/>
          <w:sz w:val="22"/>
          <w:szCs w:val="22"/>
        </w:rPr>
        <w:t>).</w:t>
      </w:r>
      <w:r w:rsidR="00206FD0" w:rsidRPr="00971BF6">
        <w:rPr>
          <w:rFonts w:ascii="Garamond" w:hAnsi="Garamond"/>
          <w:sz w:val="22"/>
          <w:szCs w:val="22"/>
        </w:rPr>
        <w:t xml:space="preserve"> Ponadto, na obszarze PLGR rozwija się turystyka kulturowa, oferująca uczestnictwo w imprezach kulturalnych (pielgrzymkach, koncertach, festiwalach), wystawach, targach, turniejach oraz wiejska i przyrodnicza, umożliwiająca zwiedzanie obszarów chronionych, obserwowanie i fotografowanie zwierząt.</w:t>
      </w:r>
    </w:p>
    <w:p w:rsidR="00472369" w:rsidRDefault="00472369" w:rsidP="00206FD0">
      <w:pPr>
        <w:jc w:val="both"/>
        <w:rPr>
          <w:rFonts w:ascii="Garamond" w:hAnsi="Garamond"/>
          <w:color w:val="0070C0"/>
          <w:sz w:val="22"/>
          <w:szCs w:val="22"/>
        </w:rPr>
      </w:pPr>
    </w:p>
    <w:p w:rsidR="008A6A2F" w:rsidRDefault="008A6A2F" w:rsidP="00206FD0">
      <w:pPr>
        <w:jc w:val="both"/>
        <w:rPr>
          <w:rFonts w:ascii="Garamond" w:hAnsi="Garamond"/>
          <w:color w:val="0070C0"/>
          <w:sz w:val="22"/>
          <w:szCs w:val="22"/>
        </w:rPr>
      </w:pPr>
    </w:p>
    <w:p w:rsidR="008A6A2F" w:rsidRPr="00A12CB9" w:rsidRDefault="008A6A2F" w:rsidP="00206FD0">
      <w:pPr>
        <w:jc w:val="both"/>
        <w:rPr>
          <w:rFonts w:ascii="Garamond" w:hAnsi="Garamond"/>
          <w:color w:val="0070C0"/>
          <w:sz w:val="22"/>
          <w:szCs w:val="22"/>
        </w:rPr>
      </w:pPr>
    </w:p>
    <w:p w:rsidR="00502AF5" w:rsidRPr="00502AF5" w:rsidRDefault="00502AF5" w:rsidP="00502AF5">
      <w:pPr>
        <w:shd w:val="clear" w:color="auto" w:fill="4F6228" w:themeFill="accent3" w:themeFillShade="80"/>
        <w:spacing w:after="0" w:line="240" w:lineRule="auto"/>
        <w:jc w:val="center"/>
        <w:rPr>
          <w:rFonts w:ascii="Garamond" w:hAnsi="Garamond"/>
          <w:b/>
          <w:color w:val="FFFFFF" w:themeColor="background1"/>
          <w:sz w:val="22"/>
          <w:szCs w:val="22"/>
        </w:rPr>
      </w:pPr>
      <w:r w:rsidRPr="00502AF5">
        <w:rPr>
          <w:rFonts w:ascii="Garamond" w:hAnsi="Garamond"/>
          <w:b/>
          <w:color w:val="FFFFFF" w:themeColor="background1"/>
          <w:sz w:val="22"/>
          <w:szCs w:val="22"/>
        </w:rPr>
        <w:t>INFRASTRUKTURA I ZASOBY PRZYRODNICZE</w:t>
      </w:r>
    </w:p>
    <w:p w:rsidR="00502AF5" w:rsidRDefault="00502AF5" w:rsidP="00502AF5">
      <w:pPr>
        <w:spacing w:after="0" w:line="240" w:lineRule="auto"/>
        <w:jc w:val="both"/>
        <w:rPr>
          <w:rFonts w:ascii="Garamond" w:hAnsi="Garamond"/>
          <w:color w:val="FFFFFF" w:themeColor="background1"/>
          <w:sz w:val="22"/>
          <w:szCs w:val="22"/>
        </w:rPr>
      </w:pPr>
    </w:p>
    <w:p w:rsidR="00472369" w:rsidRPr="00502AF5" w:rsidRDefault="00472369" w:rsidP="00502AF5">
      <w:pPr>
        <w:spacing w:after="0" w:line="240" w:lineRule="auto"/>
        <w:jc w:val="both"/>
        <w:rPr>
          <w:rFonts w:ascii="Garamond" w:hAnsi="Garamond"/>
          <w:color w:val="FFFFFF" w:themeColor="background1"/>
          <w:sz w:val="22"/>
          <w:szCs w:val="22"/>
        </w:rPr>
      </w:pPr>
    </w:p>
    <w:p w:rsidR="000173B3" w:rsidRPr="006335E2" w:rsidRDefault="00B03740" w:rsidP="00E07C89">
      <w:pPr>
        <w:shd w:val="clear" w:color="auto" w:fill="76923C" w:themeFill="accent3" w:themeFillShade="BF"/>
        <w:spacing w:after="0" w:line="240" w:lineRule="auto"/>
        <w:jc w:val="center"/>
        <w:rPr>
          <w:rFonts w:ascii="Garamond" w:hAnsi="Garamond"/>
          <w:b/>
          <w:sz w:val="22"/>
          <w:szCs w:val="22"/>
        </w:rPr>
      </w:pPr>
      <w:r>
        <w:rPr>
          <w:rFonts w:ascii="Garamond" w:hAnsi="Garamond"/>
          <w:b/>
          <w:sz w:val="22"/>
          <w:szCs w:val="22"/>
        </w:rPr>
        <w:t xml:space="preserve">DOSTĘPNOŚĆ </w:t>
      </w:r>
    </w:p>
    <w:p w:rsidR="007B6DFD" w:rsidRDefault="007B6DFD" w:rsidP="00CD6B66">
      <w:pPr>
        <w:spacing w:after="0"/>
        <w:jc w:val="both"/>
        <w:rPr>
          <w:rFonts w:ascii="Garamond" w:hAnsi="Garamond"/>
          <w:sz w:val="22"/>
          <w:szCs w:val="22"/>
        </w:rPr>
      </w:pPr>
    </w:p>
    <w:p w:rsidR="003850F3" w:rsidRPr="00AA5213" w:rsidRDefault="003850F3" w:rsidP="00F66104">
      <w:pPr>
        <w:autoSpaceDE w:val="0"/>
        <w:autoSpaceDN w:val="0"/>
        <w:adjustRightInd w:val="0"/>
        <w:jc w:val="both"/>
        <w:rPr>
          <w:rFonts w:ascii="Garamond" w:hAnsi="Garamond" w:cs="Garamond"/>
          <w:sz w:val="22"/>
          <w:szCs w:val="24"/>
          <w:lang w:eastAsia="en-US"/>
        </w:rPr>
      </w:pPr>
      <w:r w:rsidRPr="00AA5213">
        <w:rPr>
          <w:rFonts w:ascii="Garamond" w:hAnsi="Garamond"/>
          <w:sz w:val="22"/>
          <w:szCs w:val="22"/>
        </w:rPr>
        <w:t xml:space="preserve">Poprzez inwestycje drogowe (autostrada A1 w połączeniu z istniejącą obwodnicą Trójmiasta oraz droga ekspresowa S6) </w:t>
      </w:r>
      <w:r w:rsidRPr="00AA5213">
        <w:rPr>
          <w:rFonts w:ascii="Garamond" w:hAnsi="Garamond"/>
          <w:b/>
          <w:color w:val="4F6228" w:themeColor="accent3" w:themeShade="80"/>
          <w:sz w:val="22"/>
          <w:szCs w:val="22"/>
        </w:rPr>
        <w:t xml:space="preserve">poprawia się dostępność </w:t>
      </w:r>
      <w:r w:rsidRPr="00AA5213">
        <w:rPr>
          <w:rFonts w:ascii="Garamond" w:hAnsi="Garamond"/>
          <w:sz w:val="22"/>
          <w:szCs w:val="22"/>
        </w:rPr>
        <w:t>obszaru.</w:t>
      </w:r>
      <w:r w:rsidR="00F71EE3" w:rsidRPr="00AA5213">
        <w:rPr>
          <w:rFonts w:ascii="Garamond" w:hAnsi="Garamond"/>
          <w:sz w:val="22"/>
          <w:szCs w:val="22"/>
        </w:rPr>
        <w:t xml:space="preserve"> </w:t>
      </w:r>
      <w:r w:rsidR="00F21181" w:rsidRPr="00AA5213">
        <w:rPr>
          <w:rFonts w:ascii="Garamond" w:hAnsi="Garamond"/>
          <w:sz w:val="22"/>
          <w:szCs w:val="22"/>
        </w:rPr>
        <w:t>Ze względu na wzmożony ruch, j</w:t>
      </w:r>
      <w:r w:rsidR="00F71EE3" w:rsidRPr="00AA5213">
        <w:rPr>
          <w:rFonts w:ascii="Garamond" w:hAnsi="Garamond"/>
          <w:sz w:val="22"/>
          <w:szCs w:val="22"/>
        </w:rPr>
        <w:t xml:space="preserve">est </w:t>
      </w:r>
      <w:r w:rsidR="00F21181" w:rsidRPr="00AA5213">
        <w:rPr>
          <w:rFonts w:ascii="Garamond" w:hAnsi="Garamond"/>
          <w:sz w:val="22"/>
          <w:szCs w:val="22"/>
        </w:rPr>
        <w:t xml:space="preserve">ona zachwiana w okresie letnim. </w:t>
      </w:r>
      <w:r w:rsidRPr="00AA5213">
        <w:rPr>
          <w:rFonts w:ascii="Garamond" w:hAnsi="Garamond"/>
          <w:sz w:val="22"/>
          <w:szCs w:val="22"/>
        </w:rPr>
        <w:t>Z kolei</w:t>
      </w:r>
      <w:r w:rsidRPr="00AA5213">
        <w:rPr>
          <w:rFonts w:ascii="Garamond" w:hAnsi="Garamond"/>
          <w:szCs w:val="22"/>
        </w:rPr>
        <w:t xml:space="preserve"> </w:t>
      </w:r>
      <w:r w:rsidRPr="00AA5213">
        <w:rPr>
          <w:rFonts w:ascii="Garamond" w:hAnsi="Garamond" w:cs="Garamond"/>
          <w:sz w:val="22"/>
          <w:szCs w:val="24"/>
          <w:lang w:eastAsia="en-US"/>
        </w:rPr>
        <w:t xml:space="preserve">stan infrastruktury kolejowej, zwłaszcza tej służącej transportowi towarów, w województwie pomorskim ulega stopniowemu pogorszeniu. W efekcie redukuje się układ połączeń pasażerskich, a transport towarów przerzucany jest na drogi kołowe. </w:t>
      </w:r>
      <w:r w:rsidR="00971641" w:rsidRPr="00AA5213">
        <w:rPr>
          <w:rFonts w:ascii="Garamond" w:hAnsi="Garamond" w:cs="Garamond"/>
          <w:sz w:val="22"/>
          <w:szCs w:val="24"/>
          <w:lang w:eastAsia="en-US"/>
        </w:rPr>
        <w:t xml:space="preserve">Na obszarze PLGR, rozkład pasażerskich połączeń kolejowych wykazuje duże różnice sezonowe. </w:t>
      </w:r>
      <w:r w:rsidRPr="00AA5213">
        <w:rPr>
          <w:rFonts w:ascii="Garamond" w:hAnsi="Garamond" w:cs="Garamond"/>
          <w:sz w:val="22"/>
          <w:szCs w:val="24"/>
          <w:lang w:eastAsia="en-US"/>
        </w:rPr>
        <w:t xml:space="preserve">W </w:t>
      </w:r>
      <w:r w:rsidR="00971641" w:rsidRPr="00AA5213">
        <w:rPr>
          <w:rFonts w:ascii="Garamond" w:hAnsi="Garamond" w:cs="Garamond"/>
          <w:sz w:val="22"/>
          <w:szCs w:val="24"/>
          <w:lang w:eastAsia="en-US"/>
        </w:rPr>
        <w:t xml:space="preserve">okresie </w:t>
      </w:r>
      <w:r w:rsidRPr="00AA5213">
        <w:rPr>
          <w:rFonts w:ascii="Garamond" w:hAnsi="Garamond" w:cs="Garamond"/>
          <w:sz w:val="22"/>
          <w:szCs w:val="24"/>
          <w:lang w:eastAsia="en-US"/>
        </w:rPr>
        <w:t xml:space="preserve">letnim uruchamiane są </w:t>
      </w:r>
      <w:r w:rsidR="00971641" w:rsidRPr="00AA5213">
        <w:rPr>
          <w:rFonts w:ascii="Garamond" w:hAnsi="Garamond" w:cs="Garamond"/>
          <w:sz w:val="22"/>
          <w:szCs w:val="24"/>
          <w:lang w:eastAsia="en-US"/>
        </w:rPr>
        <w:t xml:space="preserve">bowiem </w:t>
      </w:r>
      <w:r w:rsidRPr="00AA5213">
        <w:rPr>
          <w:rFonts w:ascii="Garamond" w:hAnsi="Garamond" w:cs="Garamond"/>
          <w:sz w:val="22"/>
          <w:szCs w:val="24"/>
          <w:lang w:eastAsia="en-US"/>
        </w:rPr>
        <w:t xml:space="preserve">dodatkowe </w:t>
      </w:r>
      <w:r w:rsidR="00971641" w:rsidRPr="00AA5213">
        <w:rPr>
          <w:rFonts w:ascii="Garamond" w:hAnsi="Garamond" w:cs="Garamond"/>
          <w:sz w:val="22"/>
          <w:szCs w:val="24"/>
          <w:lang w:eastAsia="en-US"/>
        </w:rPr>
        <w:t xml:space="preserve">połączenia </w:t>
      </w:r>
      <w:r w:rsidRPr="00AA5213">
        <w:rPr>
          <w:rFonts w:ascii="Garamond" w:hAnsi="Garamond" w:cs="Garamond"/>
          <w:sz w:val="22"/>
          <w:szCs w:val="24"/>
          <w:lang w:eastAsia="en-US"/>
        </w:rPr>
        <w:t xml:space="preserve">(np. Gdynia-Hel), które </w:t>
      </w:r>
      <w:r w:rsidR="00971641" w:rsidRPr="00AA5213">
        <w:rPr>
          <w:rFonts w:ascii="Garamond" w:hAnsi="Garamond" w:cs="Garamond"/>
          <w:sz w:val="22"/>
          <w:szCs w:val="24"/>
          <w:lang w:eastAsia="en-US"/>
        </w:rPr>
        <w:t xml:space="preserve">stają się </w:t>
      </w:r>
      <w:r w:rsidRPr="00AA5213">
        <w:rPr>
          <w:rFonts w:ascii="Garamond" w:hAnsi="Garamond" w:cs="Garamond"/>
          <w:sz w:val="22"/>
          <w:szCs w:val="24"/>
          <w:lang w:eastAsia="en-US"/>
        </w:rPr>
        <w:t>dobrą alternatywą dla turystów.</w:t>
      </w:r>
    </w:p>
    <w:p w:rsidR="00F66104" w:rsidRPr="00AA5213" w:rsidRDefault="00FF120F" w:rsidP="00F66104">
      <w:pPr>
        <w:autoSpaceDE w:val="0"/>
        <w:autoSpaceDN w:val="0"/>
        <w:adjustRightInd w:val="0"/>
        <w:spacing w:after="0"/>
        <w:jc w:val="both"/>
        <w:rPr>
          <w:rFonts w:ascii="Garamond" w:hAnsi="Garamond" w:cs="Garamond"/>
          <w:sz w:val="22"/>
          <w:szCs w:val="24"/>
          <w:lang w:eastAsia="en-US"/>
        </w:rPr>
      </w:pPr>
      <w:r w:rsidRPr="00AA5213">
        <w:rPr>
          <w:rFonts w:ascii="Garamond" w:hAnsi="Garamond" w:cs="Garamond"/>
          <w:sz w:val="22"/>
          <w:szCs w:val="24"/>
          <w:lang w:eastAsia="en-US"/>
        </w:rPr>
        <w:t>W województwie pomorskim występuje dalece niewystarczająca integracja podsystemów transportu zbiorowego i indywidualnego, zarówno w skali regionalnej, metropolitalnej, jak i lokalnej. Integrację tę</w:t>
      </w:r>
      <w:r w:rsidRPr="00EF76B9">
        <w:rPr>
          <w:rFonts w:ascii="Garamond" w:hAnsi="Garamond" w:cs="Garamond"/>
          <w:sz w:val="22"/>
          <w:szCs w:val="24"/>
          <w:lang w:eastAsia="en-US"/>
        </w:rPr>
        <w:t xml:space="preserve"> należy rozumieć kompleksowo, jako obejmującą</w:t>
      </w:r>
      <w:r>
        <w:rPr>
          <w:rFonts w:ascii="Garamond" w:hAnsi="Garamond" w:cs="Garamond"/>
          <w:sz w:val="22"/>
          <w:szCs w:val="24"/>
          <w:lang w:eastAsia="en-US"/>
        </w:rPr>
        <w:t xml:space="preserve"> </w:t>
      </w:r>
      <w:r w:rsidRPr="00EF76B9">
        <w:rPr>
          <w:rFonts w:ascii="Garamond" w:hAnsi="Garamond" w:cs="Garamond"/>
          <w:sz w:val="22"/>
          <w:szCs w:val="24"/>
          <w:lang w:eastAsia="en-US"/>
        </w:rPr>
        <w:t xml:space="preserve">rozwiązania </w:t>
      </w:r>
      <w:r w:rsidRPr="00AA5213">
        <w:rPr>
          <w:rFonts w:ascii="Garamond" w:hAnsi="Garamond" w:cs="Garamond"/>
          <w:sz w:val="22"/>
          <w:szCs w:val="24"/>
          <w:lang w:eastAsia="en-US"/>
        </w:rPr>
        <w:t>techniczne (infrastrukturalne i taborowe), organizacyjne, taryfowe, biletowe i informacyjne.</w:t>
      </w:r>
    </w:p>
    <w:p w:rsidR="003850F3" w:rsidRPr="00AA5213" w:rsidRDefault="00EF76B9" w:rsidP="00145E5A">
      <w:pPr>
        <w:autoSpaceDE w:val="0"/>
        <w:autoSpaceDN w:val="0"/>
        <w:adjustRightInd w:val="0"/>
        <w:jc w:val="both"/>
        <w:rPr>
          <w:rFonts w:ascii="Garamond" w:hAnsi="Garamond" w:cs="Garamond"/>
          <w:sz w:val="22"/>
          <w:szCs w:val="24"/>
          <w:lang w:eastAsia="en-US"/>
        </w:rPr>
      </w:pPr>
      <w:r w:rsidRPr="00AA5213">
        <w:rPr>
          <w:rFonts w:ascii="Garamond" w:hAnsi="Garamond" w:cs="Garamond"/>
          <w:sz w:val="22"/>
          <w:szCs w:val="24"/>
          <w:lang w:eastAsia="en-US"/>
        </w:rPr>
        <w:t xml:space="preserve">Żegluga przybrzeżna i śródlądowa nie stanowi elementu systemu publicznego transportu zbiorowego, jednak zajmuje ważne miejsce w obsłudze morskich przewozów turystycznych, przede wszystkim </w:t>
      </w:r>
      <w:r w:rsidRPr="00AA5213">
        <w:rPr>
          <w:rFonts w:ascii="Garamond" w:hAnsi="Garamond" w:cs="Garamond"/>
          <w:sz w:val="22"/>
          <w:szCs w:val="24"/>
          <w:lang w:eastAsia="en-US"/>
        </w:rPr>
        <w:lastRenderedPageBreak/>
        <w:t xml:space="preserve">pomiędzy miastami aglomeracji trójmiejskiej a Półwyspem Helskim i w obszarze Zalewu Wiślanego </w:t>
      </w:r>
      <w:r w:rsidR="00FF120F" w:rsidRPr="00AA5213">
        <w:rPr>
          <w:rFonts w:ascii="Garamond" w:hAnsi="Garamond" w:cs="Garamond"/>
          <w:sz w:val="22"/>
          <w:szCs w:val="24"/>
          <w:lang w:eastAsia="en-US"/>
        </w:rPr>
        <w:t xml:space="preserve"> </w:t>
      </w:r>
      <w:r w:rsidRPr="00AA5213">
        <w:rPr>
          <w:rFonts w:ascii="Garamond" w:hAnsi="Garamond" w:cs="Garamond"/>
          <w:sz w:val="22"/>
          <w:szCs w:val="24"/>
          <w:lang w:eastAsia="en-US"/>
        </w:rPr>
        <w:t>(</w:t>
      </w:r>
      <w:r w:rsidRPr="00AA5213">
        <w:rPr>
          <w:rFonts w:ascii="Garamond" w:hAnsi="Garamond" w:cs="Garamond"/>
          <w:i/>
          <w:sz w:val="22"/>
          <w:szCs w:val="24"/>
          <w:lang w:eastAsia="en-US"/>
        </w:rPr>
        <w:t>Regionalny Program Strategiczny w zakresie transportu „Mobilne Pomorze”</w:t>
      </w:r>
      <w:r w:rsidRPr="00AA5213">
        <w:rPr>
          <w:rFonts w:ascii="Garamond" w:hAnsi="Garamond" w:cs="Garamond"/>
          <w:sz w:val="22"/>
          <w:szCs w:val="24"/>
          <w:lang w:eastAsia="en-US"/>
        </w:rPr>
        <w:t>)</w:t>
      </w:r>
      <w:r w:rsidR="00FF120F" w:rsidRPr="00AA5213">
        <w:rPr>
          <w:rFonts w:ascii="Garamond" w:hAnsi="Garamond" w:cs="Garamond"/>
          <w:sz w:val="22"/>
          <w:szCs w:val="24"/>
          <w:lang w:eastAsia="en-US"/>
        </w:rPr>
        <w:t>.</w:t>
      </w:r>
    </w:p>
    <w:p w:rsidR="00334F83" w:rsidRPr="00971BF6" w:rsidRDefault="00334F83" w:rsidP="00CD6B66">
      <w:pPr>
        <w:spacing w:after="0"/>
        <w:jc w:val="both"/>
        <w:rPr>
          <w:rFonts w:ascii="Garamond" w:hAnsi="Garamond"/>
          <w:sz w:val="22"/>
          <w:szCs w:val="22"/>
        </w:rPr>
      </w:pPr>
      <w:r w:rsidRPr="00AA5213">
        <w:rPr>
          <w:rFonts w:ascii="Garamond" w:hAnsi="Garamond"/>
          <w:sz w:val="22"/>
          <w:szCs w:val="22"/>
        </w:rPr>
        <w:t xml:space="preserve">W ostatnich latach znacznie wzrosło zainteresowanie rowerami, jako środkiem transportu. </w:t>
      </w:r>
      <w:r w:rsidR="00440046" w:rsidRPr="00AA5213">
        <w:rPr>
          <w:rFonts w:ascii="Garamond" w:hAnsi="Garamond"/>
          <w:sz w:val="22"/>
          <w:szCs w:val="22"/>
        </w:rPr>
        <w:t xml:space="preserve">Odpowiedzią na to zjawisko jest </w:t>
      </w:r>
      <w:r w:rsidR="00440046" w:rsidRPr="00AA5213">
        <w:rPr>
          <w:rFonts w:ascii="Garamond" w:hAnsi="Garamond"/>
          <w:b/>
          <w:color w:val="4F6228" w:themeColor="accent3" w:themeShade="80"/>
          <w:sz w:val="22"/>
          <w:szCs w:val="22"/>
        </w:rPr>
        <w:t>przyrost ścieżek rowerowych</w:t>
      </w:r>
      <w:r w:rsidR="00440046" w:rsidRPr="00AA5213">
        <w:rPr>
          <w:rFonts w:ascii="Garamond" w:hAnsi="Garamond"/>
          <w:sz w:val="22"/>
          <w:szCs w:val="22"/>
        </w:rPr>
        <w:t xml:space="preserve">. Można go obserwować również na obszarze PLGR, gdzie w ciągu trzech lat o prawie 250% wzrosła długość ścieżek i w 2013 r. wynosiła 102,4 </w:t>
      </w:r>
      <w:proofErr w:type="spellStart"/>
      <w:r w:rsidR="00440046" w:rsidRPr="00AA5213">
        <w:rPr>
          <w:rFonts w:ascii="Garamond" w:hAnsi="Garamond"/>
          <w:sz w:val="22"/>
          <w:szCs w:val="22"/>
        </w:rPr>
        <w:t>km</w:t>
      </w:r>
      <w:proofErr w:type="spellEnd"/>
      <w:r w:rsidR="00440046" w:rsidRPr="00AA5213">
        <w:rPr>
          <w:rFonts w:ascii="Garamond" w:hAnsi="Garamond"/>
          <w:sz w:val="22"/>
          <w:szCs w:val="22"/>
        </w:rPr>
        <w:t>. Odcinki te stanowiły 13,0% wszystkich ścieżek w regionie. Najwięcej ścieżek jest w mieście Władysławowo</w:t>
      </w:r>
      <w:r w:rsidR="00207B92" w:rsidRPr="00AA5213">
        <w:rPr>
          <w:rFonts w:ascii="Garamond" w:hAnsi="Garamond"/>
          <w:sz w:val="22"/>
          <w:szCs w:val="22"/>
        </w:rPr>
        <w:t xml:space="preserve"> (30,6 km)</w:t>
      </w:r>
      <w:r w:rsidR="00440046" w:rsidRPr="00AA5213">
        <w:rPr>
          <w:rFonts w:ascii="Garamond" w:hAnsi="Garamond"/>
          <w:sz w:val="22"/>
          <w:szCs w:val="22"/>
        </w:rPr>
        <w:t xml:space="preserve"> i Hel</w:t>
      </w:r>
      <w:r w:rsidR="00207B92" w:rsidRPr="00AA5213">
        <w:rPr>
          <w:rFonts w:ascii="Garamond" w:hAnsi="Garamond"/>
          <w:sz w:val="22"/>
          <w:szCs w:val="22"/>
        </w:rPr>
        <w:t xml:space="preserve"> (19,6 km)</w:t>
      </w:r>
      <w:r w:rsidR="00440046" w:rsidRPr="00AA5213">
        <w:rPr>
          <w:rFonts w:ascii="Garamond" w:hAnsi="Garamond"/>
          <w:sz w:val="22"/>
          <w:szCs w:val="22"/>
        </w:rPr>
        <w:t>. Natomiast żadna nie została zbudowana w gminie Krokowa.</w:t>
      </w:r>
      <w:r w:rsidR="00207B92" w:rsidRPr="00AA5213">
        <w:rPr>
          <w:rFonts w:ascii="Garamond" w:hAnsi="Garamond"/>
          <w:sz w:val="22"/>
          <w:szCs w:val="22"/>
        </w:rPr>
        <w:t xml:space="preserve"> Jedynie 4,8 km jest w Kosakowie, a 5,2 km w mieście Puck.</w:t>
      </w:r>
    </w:p>
    <w:p w:rsidR="00472369" w:rsidRPr="00A12CB9" w:rsidRDefault="00472369" w:rsidP="00CD6B66">
      <w:pPr>
        <w:spacing w:after="0"/>
        <w:jc w:val="both"/>
        <w:rPr>
          <w:rFonts w:ascii="Garamond" w:hAnsi="Garamond"/>
          <w:color w:val="0070C0"/>
          <w:sz w:val="22"/>
          <w:szCs w:val="22"/>
        </w:rPr>
      </w:pPr>
    </w:p>
    <w:p w:rsidR="00334F83" w:rsidRPr="00334F83" w:rsidRDefault="00334F83" w:rsidP="00CD6B66">
      <w:pPr>
        <w:spacing w:after="0"/>
        <w:jc w:val="both"/>
        <w:rPr>
          <w:rFonts w:ascii="Garamond" w:hAnsi="Garamond"/>
          <w:sz w:val="22"/>
          <w:szCs w:val="22"/>
        </w:rPr>
      </w:pPr>
    </w:p>
    <w:p w:rsidR="00B03740" w:rsidRDefault="00502AF5" w:rsidP="00B03740">
      <w:pPr>
        <w:shd w:val="clear" w:color="auto" w:fill="76923C" w:themeFill="accent3" w:themeFillShade="BF"/>
        <w:spacing w:after="0" w:line="240" w:lineRule="auto"/>
        <w:jc w:val="center"/>
        <w:rPr>
          <w:rFonts w:ascii="Garamond" w:hAnsi="Garamond"/>
          <w:b/>
          <w:sz w:val="22"/>
          <w:szCs w:val="22"/>
        </w:rPr>
      </w:pPr>
      <w:r>
        <w:rPr>
          <w:rFonts w:ascii="Garamond" w:hAnsi="Garamond"/>
          <w:b/>
          <w:sz w:val="22"/>
          <w:szCs w:val="22"/>
        </w:rPr>
        <w:t>STAN I OCHRONA ŚRODOWISKA</w:t>
      </w:r>
    </w:p>
    <w:p w:rsidR="00D4791B" w:rsidRDefault="00D4791B" w:rsidP="00CD6B66">
      <w:pPr>
        <w:spacing w:after="0"/>
        <w:jc w:val="both"/>
        <w:rPr>
          <w:rFonts w:ascii="Garamond" w:hAnsi="Garamond"/>
          <w:b/>
          <w:color w:val="4F6228" w:themeColor="accent3" w:themeShade="80"/>
          <w:sz w:val="22"/>
          <w:szCs w:val="22"/>
        </w:rPr>
      </w:pPr>
    </w:p>
    <w:p w:rsidR="005C6492" w:rsidRPr="00AA5213" w:rsidRDefault="007B6DFD" w:rsidP="00110874">
      <w:pPr>
        <w:jc w:val="both"/>
        <w:rPr>
          <w:rFonts w:ascii="Garamond" w:hAnsi="Garamond"/>
          <w:sz w:val="22"/>
          <w:szCs w:val="22"/>
        </w:rPr>
      </w:pPr>
      <w:r w:rsidRPr="00AA5213">
        <w:rPr>
          <w:rFonts w:ascii="Garamond" w:hAnsi="Garamond"/>
          <w:b/>
          <w:color w:val="4F6228" w:themeColor="accent3" w:themeShade="80"/>
          <w:sz w:val="22"/>
          <w:szCs w:val="22"/>
        </w:rPr>
        <w:t>Walory krajobrazowe</w:t>
      </w:r>
      <w:r w:rsidRPr="00AA5213">
        <w:rPr>
          <w:rFonts w:ascii="Garamond" w:hAnsi="Garamond"/>
          <w:color w:val="4F6228" w:themeColor="accent3" w:themeShade="80"/>
          <w:sz w:val="22"/>
          <w:szCs w:val="22"/>
        </w:rPr>
        <w:t xml:space="preserve"> </w:t>
      </w:r>
      <w:r w:rsidRPr="00AA5213">
        <w:rPr>
          <w:rFonts w:ascii="Garamond" w:hAnsi="Garamond"/>
          <w:sz w:val="22"/>
          <w:szCs w:val="22"/>
        </w:rPr>
        <w:t>omawianego terenu należy uznać za bardzo wysokie. Najciekawsze cechy fizjonomiczne posiada strefa przybrzeżna morza, z urozmaiconymi odcinkami klifowymi i wydmowymi – w tym z bardzo popularnymi turystycznie i unikatowymi pasami wydm m.in. na Półwyspie Helskim.</w:t>
      </w:r>
      <w:r w:rsidR="00110874" w:rsidRPr="00AA5213">
        <w:rPr>
          <w:rFonts w:ascii="Garamond" w:hAnsi="Garamond"/>
          <w:sz w:val="22"/>
          <w:szCs w:val="22"/>
        </w:rPr>
        <w:t xml:space="preserve"> </w:t>
      </w:r>
      <w:r w:rsidR="005C6492" w:rsidRPr="00AA5213">
        <w:rPr>
          <w:rFonts w:ascii="Garamond" w:hAnsi="Garamond"/>
          <w:sz w:val="22"/>
          <w:szCs w:val="22"/>
        </w:rPr>
        <w:t xml:space="preserve">Płytkie wody przybrzeżne Bałtyku wraz z Zatoką Pucką stanowią fragment europejskiego korytarza wędrówkowego ptaków. </w:t>
      </w:r>
      <w:r w:rsidR="00110874" w:rsidRPr="00AA5213">
        <w:rPr>
          <w:rFonts w:ascii="Garamond" w:hAnsi="Garamond"/>
          <w:sz w:val="22"/>
          <w:szCs w:val="22"/>
        </w:rPr>
        <w:t xml:space="preserve">W Morzu Bałtyckim żyje około 30 gatunków ryb, w tym rzadkie dwuśrodowiskowe, łososiowate, a unikatem są chronione ssaki morskie – foki oraz morświn. </w:t>
      </w:r>
    </w:p>
    <w:p w:rsidR="004414B2" w:rsidRPr="00AA5213" w:rsidRDefault="004414B2" w:rsidP="00110874">
      <w:pPr>
        <w:jc w:val="both"/>
        <w:rPr>
          <w:rFonts w:ascii="Garamond" w:hAnsi="Garamond"/>
          <w:sz w:val="22"/>
          <w:szCs w:val="22"/>
        </w:rPr>
      </w:pPr>
      <w:r w:rsidRPr="00AA5213">
        <w:rPr>
          <w:rFonts w:ascii="Garamond" w:hAnsi="Garamond"/>
          <w:sz w:val="22"/>
          <w:szCs w:val="22"/>
        </w:rPr>
        <w:t xml:space="preserve">Ważnym elementem systemu przyrodniczego są lasy. </w:t>
      </w:r>
      <w:r w:rsidRPr="00AA5213">
        <w:rPr>
          <w:rFonts w:ascii="Garamond" w:hAnsi="Garamond"/>
          <w:b/>
          <w:color w:val="4F6228" w:themeColor="accent3" w:themeShade="80"/>
          <w:sz w:val="22"/>
          <w:szCs w:val="22"/>
        </w:rPr>
        <w:t xml:space="preserve">Lesistość </w:t>
      </w:r>
      <w:r w:rsidRPr="00AA5213">
        <w:rPr>
          <w:rFonts w:ascii="Garamond" w:hAnsi="Garamond"/>
          <w:sz w:val="22"/>
          <w:szCs w:val="22"/>
        </w:rPr>
        <w:t xml:space="preserve">na obszarze </w:t>
      </w:r>
      <w:r w:rsidRPr="00AA5213">
        <w:rPr>
          <w:rFonts w:ascii="Garamond" w:hAnsi="Garamond"/>
          <w:color w:val="4F6228" w:themeColor="accent3" w:themeShade="80"/>
          <w:sz w:val="22"/>
          <w:szCs w:val="22"/>
        </w:rPr>
        <w:t>PLGR</w:t>
      </w:r>
      <w:r w:rsidRPr="00AA5213">
        <w:rPr>
          <w:rFonts w:ascii="Garamond" w:hAnsi="Garamond"/>
          <w:b/>
          <w:color w:val="4F6228" w:themeColor="accent3" w:themeShade="80"/>
          <w:sz w:val="22"/>
          <w:szCs w:val="22"/>
        </w:rPr>
        <w:t xml:space="preserve"> jest nieznacznie większa</w:t>
      </w:r>
      <w:r w:rsidRPr="00AA5213">
        <w:rPr>
          <w:rFonts w:ascii="Garamond" w:hAnsi="Garamond"/>
          <w:sz w:val="22"/>
          <w:szCs w:val="22"/>
        </w:rPr>
        <w:t xml:space="preserve"> od średniej wojewódzkiej (36,3%) i wynosi 37,9%. Udział lasów w ogólnej powierzchni analizowanych gmin jest zróżnicowany. Paradoksalnie, największy jest w mieście Hel (75,2%), a najmniejsza w mieście Puck (0,2%). Na uwagę zasługuje również. niespotykana sytuacja, w której lesistość obszarów wiejskich jest taka sama jak w miastach i wynosi 37,8%.</w:t>
      </w:r>
    </w:p>
    <w:p w:rsidR="00CD6B66" w:rsidRPr="00AA5213" w:rsidRDefault="00424920" w:rsidP="00110874">
      <w:pPr>
        <w:jc w:val="both"/>
        <w:rPr>
          <w:rFonts w:ascii="Garamond" w:hAnsi="Garamond"/>
          <w:sz w:val="22"/>
          <w:szCs w:val="22"/>
        </w:rPr>
      </w:pPr>
      <w:r w:rsidRPr="00AA5213">
        <w:rPr>
          <w:rFonts w:ascii="Garamond" w:hAnsi="Garamond"/>
          <w:sz w:val="22"/>
          <w:szCs w:val="22"/>
        </w:rPr>
        <w:t xml:space="preserve">Obszar </w:t>
      </w:r>
      <w:r w:rsidR="008703E2" w:rsidRPr="00AA5213">
        <w:rPr>
          <w:rFonts w:ascii="Garamond" w:hAnsi="Garamond"/>
          <w:sz w:val="22"/>
          <w:szCs w:val="22"/>
        </w:rPr>
        <w:t>ujęty w</w:t>
      </w:r>
      <w:r w:rsidRPr="00AA5213">
        <w:rPr>
          <w:rFonts w:ascii="Garamond" w:hAnsi="Garamond"/>
          <w:sz w:val="22"/>
          <w:szCs w:val="22"/>
        </w:rPr>
        <w:t xml:space="preserve"> </w:t>
      </w:r>
      <w:r w:rsidR="008703E2" w:rsidRPr="00AA5213">
        <w:rPr>
          <w:rFonts w:ascii="Garamond" w:hAnsi="Garamond"/>
          <w:sz w:val="22"/>
          <w:szCs w:val="22"/>
        </w:rPr>
        <w:t>Strategii</w:t>
      </w:r>
      <w:r w:rsidRPr="00AA5213">
        <w:rPr>
          <w:rFonts w:ascii="Garamond" w:hAnsi="Garamond"/>
          <w:sz w:val="22"/>
          <w:szCs w:val="22"/>
        </w:rPr>
        <w:t xml:space="preserve"> posiada </w:t>
      </w:r>
      <w:r w:rsidRPr="00AA5213">
        <w:rPr>
          <w:rFonts w:ascii="Garamond" w:hAnsi="Garamond"/>
          <w:b/>
          <w:color w:val="4F6228" w:themeColor="accent3" w:themeShade="80"/>
          <w:sz w:val="22"/>
          <w:szCs w:val="22"/>
        </w:rPr>
        <w:t xml:space="preserve">wyjątkowe </w:t>
      </w:r>
      <w:r w:rsidR="002F6DB7" w:rsidRPr="00AA5213">
        <w:rPr>
          <w:rFonts w:ascii="Garamond" w:hAnsi="Garamond"/>
          <w:b/>
          <w:color w:val="4F6228" w:themeColor="accent3" w:themeShade="80"/>
          <w:sz w:val="22"/>
          <w:szCs w:val="22"/>
        </w:rPr>
        <w:t xml:space="preserve">zasoby i </w:t>
      </w:r>
      <w:r w:rsidRPr="00AA5213">
        <w:rPr>
          <w:rFonts w:ascii="Garamond" w:hAnsi="Garamond"/>
          <w:b/>
          <w:color w:val="4F6228" w:themeColor="accent3" w:themeShade="80"/>
          <w:sz w:val="22"/>
          <w:szCs w:val="22"/>
        </w:rPr>
        <w:t>walory przyrodnicze</w:t>
      </w:r>
      <w:r w:rsidR="008703E2" w:rsidRPr="00AA5213">
        <w:rPr>
          <w:rFonts w:ascii="Garamond" w:hAnsi="Garamond"/>
          <w:sz w:val="22"/>
          <w:szCs w:val="22"/>
        </w:rPr>
        <w:t>, w tym objęte różnymi formami ochrony prawnej.</w:t>
      </w:r>
      <w:r w:rsidR="00A9326E" w:rsidRPr="00AA5213">
        <w:rPr>
          <w:rFonts w:ascii="Garamond" w:hAnsi="Garamond"/>
          <w:sz w:val="22"/>
          <w:szCs w:val="22"/>
        </w:rPr>
        <w:t xml:space="preserve"> Rozkład obszarów i obiektów chronionych nie zmienił się w istotny sposób od wielu lat. Obszary chronione </w:t>
      </w:r>
      <w:r w:rsidR="00091684" w:rsidRPr="00AA5213">
        <w:rPr>
          <w:rFonts w:ascii="Garamond" w:hAnsi="Garamond"/>
          <w:sz w:val="22"/>
          <w:szCs w:val="22"/>
        </w:rPr>
        <w:t>(lądowe</w:t>
      </w:r>
      <w:r w:rsidR="00124ADA" w:rsidRPr="00AA5213">
        <w:rPr>
          <w:rFonts w:ascii="Garamond" w:hAnsi="Garamond"/>
          <w:sz w:val="22"/>
          <w:szCs w:val="22"/>
        </w:rPr>
        <w:t xml:space="preserve"> i wodne) </w:t>
      </w:r>
      <w:r w:rsidR="00250339" w:rsidRPr="00AA5213">
        <w:rPr>
          <w:rFonts w:ascii="Garamond" w:hAnsi="Garamond"/>
          <w:sz w:val="22"/>
          <w:szCs w:val="22"/>
        </w:rPr>
        <w:t>pokrywają 39,7 tys. ha</w:t>
      </w:r>
      <w:r w:rsidR="006E7F22" w:rsidRPr="00AA5213">
        <w:rPr>
          <w:rFonts w:ascii="Garamond" w:hAnsi="Garamond"/>
          <w:sz w:val="22"/>
          <w:szCs w:val="22"/>
        </w:rPr>
        <w:t xml:space="preserve"> </w:t>
      </w:r>
      <w:r w:rsidR="00902E6C" w:rsidRPr="00AA5213">
        <w:rPr>
          <w:rFonts w:ascii="Garamond" w:hAnsi="Garamond"/>
          <w:sz w:val="22"/>
          <w:szCs w:val="22"/>
        </w:rPr>
        <w:t xml:space="preserve">obszaru </w:t>
      </w:r>
      <w:r w:rsidR="006E7F22" w:rsidRPr="00AA5213">
        <w:rPr>
          <w:rFonts w:ascii="Garamond" w:hAnsi="Garamond"/>
          <w:sz w:val="22"/>
          <w:szCs w:val="22"/>
        </w:rPr>
        <w:t>PLGR, co stanowi</w:t>
      </w:r>
      <w:r w:rsidR="00A9326E" w:rsidRPr="00AA5213">
        <w:rPr>
          <w:rFonts w:ascii="Garamond" w:hAnsi="Garamond"/>
          <w:sz w:val="22"/>
          <w:szCs w:val="22"/>
        </w:rPr>
        <w:t xml:space="preserve"> 5</w:t>
      </w:r>
      <w:r w:rsidR="00CD6B66" w:rsidRPr="00AA5213">
        <w:rPr>
          <w:rFonts w:ascii="Garamond" w:hAnsi="Garamond"/>
          <w:sz w:val="22"/>
          <w:szCs w:val="22"/>
        </w:rPr>
        <w:t>1,8</w:t>
      </w:r>
      <w:r w:rsidR="00A9326E" w:rsidRPr="00AA5213">
        <w:rPr>
          <w:rFonts w:ascii="Garamond" w:hAnsi="Garamond"/>
          <w:sz w:val="22"/>
          <w:szCs w:val="22"/>
        </w:rPr>
        <w:t xml:space="preserve">% </w:t>
      </w:r>
      <w:r w:rsidR="005C7342" w:rsidRPr="00AA5213">
        <w:rPr>
          <w:rFonts w:ascii="Garamond" w:hAnsi="Garamond"/>
          <w:sz w:val="22"/>
          <w:szCs w:val="22"/>
        </w:rPr>
        <w:t>powierzchni</w:t>
      </w:r>
      <w:r w:rsidR="00837CAA" w:rsidRPr="00AA5213">
        <w:rPr>
          <w:rFonts w:ascii="Garamond" w:hAnsi="Garamond"/>
          <w:sz w:val="22"/>
          <w:szCs w:val="22"/>
        </w:rPr>
        <w:t xml:space="preserve"> gmin</w:t>
      </w:r>
      <w:r w:rsidR="006E7F22" w:rsidRPr="00AA5213">
        <w:rPr>
          <w:rFonts w:ascii="Garamond" w:hAnsi="Garamond"/>
          <w:sz w:val="22"/>
          <w:szCs w:val="22"/>
        </w:rPr>
        <w:t>. Jest to</w:t>
      </w:r>
      <w:r w:rsidR="00A9326E" w:rsidRPr="00AA5213">
        <w:rPr>
          <w:rFonts w:ascii="Garamond" w:hAnsi="Garamond"/>
          <w:sz w:val="22"/>
          <w:szCs w:val="22"/>
        </w:rPr>
        <w:t xml:space="preserve"> zjawisk</w:t>
      </w:r>
      <w:r w:rsidR="006E7F22" w:rsidRPr="00AA5213">
        <w:rPr>
          <w:rFonts w:ascii="Garamond" w:hAnsi="Garamond"/>
          <w:sz w:val="22"/>
          <w:szCs w:val="22"/>
        </w:rPr>
        <w:t>o</w:t>
      </w:r>
      <w:r w:rsidR="00A9326E" w:rsidRPr="00AA5213">
        <w:rPr>
          <w:rFonts w:ascii="Garamond" w:hAnsi="Garamond"/>
          <w:sz w:val="22"/>
          <w:szCs w:val="22"/>
        </w:rPr>
        <w:t xml:space="preserve"> wy</w:t>
      </w:r>
      <w:r w:rsidR="005C7342" w:rsidRPr="00AA5213">
        <w:rPr>
          <w:rFonts w:ascii="Garamond" w:hAnsi="Garamond"/>
          <w:sz w:val="22"/>
          <w:szCs w:val="22"/>
        </w:rPr>
        <w:t>jątkow</w:t>
      </w:r>
      <w:r w:rsidR="006E7F22" w:rsidRPr="00AA5213">
        <w:rPr>
          <w:rFonts w:ascii="Garamond" w:hAnsi="Garamond"/>
          <w:sz w:val="22"/>
          <w:szCs w:val="22"/>
        </w:rPr>
        <w:t>e</w:t>
      </w:r>
      <w:r w:rsidR="005C7342" w:rsidRPr="00AA5213">
        <w:rPr>
          <w:rFonts w:ascii="Garamond" w:hAnsi="Garamond"/>
          <w:sz w:val="22"/>
          <w:szCs w:val="22"/>
        </w:rPr>
        <w:t xml:space="preserve"> w skali regionu, gdzie obszary te stanowią 32,7% terenu.</w:t>
      </w:r>
      <w:r w:rsidR="00CD6B66" w:rsidRPr="00AA5213">
        <w:rPr>
          <w:rFonts w:ascii="Garamond" w:hAnsi="Garamond"/>
          <w:sz w:val="22"/>
          <w:szCs w:val="22"/>
        </w:rPr>
        <w:t xml:space="preserve"> </w:t>
      </w:r>
    </w:p>
    <w:p w:rsidR="00424920" w:rsidRPr="00AA5213" w:rsidRDefault="00091684" w:rsidP="00CD6B66">
      <w:pPr>
        <w:spacing w:after="0"/>
        <w:jc w:val="both"/>
        <w:rPr>
          <w:rFonts w:ascii="Garamond" w:hAnsi="Garamond"/>
          <w:sz w:val="22"/>
          <w:szCs w:val="22"/>
        </w:rPr>
      </w:pPr>
      <w:r w:rsidRPr="00AA5213">
        <w:rPr>
          <w:rFonts w:ascii="Garamond" w:hAnsi="Garamond"/>
          <w:sz w:val="22"/>
          <w:szCs w:val="22"/>
        </w:rPr>
        <w:t xml:space="preserve">Zlokalizowane na obszarze PLGR tereny objęte ochroną, </w:t>
      </w:r>
      <w:r w:rsidR="00CD6B66" w:rsidRPr="00AA5213">
        <w:rPr>
          <w:rFonts w:ascii="Garamond" w:hAnsi="Garamond"/>
          <w:sz w:val="22"/>
          <w:szCs w:val="22"/>
        </w:rPr>
        <w:t>stanowią 6,6% z ogółu</w:t>
      </w:r>
      <w:r w:rsidRPr="00AA5213">
        <w:rPr>
          <w:rFonts w:ascii="Garamond" w:hAnsi="Garamond"/>
          <w:sz w:val="22"/>
          <w:szCs w:val="22"/>
        </w:rPr>
        <w:t xml:space="preserve"> w województwie</w:t>
      </w:r>
      <w:r w:rsidR="00CD6B66" w:rsidRPr="00AA5213">
        <w:rPr>
          <w:rFonts w:ascii="Garamond" w:hAnsi="Garamond"/>
          <w:sz w:val="22"/>
          <w:szCs w:val="22"/>
        </w:rPr>
        <w:t>.</w:t>
      </w:r>
    </w:p>
    <w:p w:rsidR="002C2AC9" w:rsidRPr="00AA5213" w:rsidRDefault="00250339" w:rsidP="00250339">
      <w:pPr>
        <w:spacing w:after="0"/>
        <w:jc w:val="both"/>
        <w:rPr>
          <w:rFonts w:ascii="Garamond" w:hAnsi="Garamond"/>
          <w:sz w:val="22"/>
          <w:szCs w:val="22"/>
        </w:rPr>
      </w:pPr>
      <w:r w:rsidRPr="00AA5213">
        <w:rPr>
          <w:rFonts w:ascii="Garamond" w:hAnsi="Garamond"/>
          <w:sz w:val="22"/>
          <w:szCs w:val="22"/>
        </w:rPr>
        <w:t>Największą powierzchnie posiadają obszary chronionego krajobrazu (62,7% powierzchni chronionej</w:t>
      </w:r>
      <w:r w:rsidR="007C776C" w:rsidRPr="00AA5213">
        <w:rPr>
          <w:rFonts w:ascii="Garamond" w:hAnsi="Garamond"/>
          <w:sz w:val="22"/>
          <w:szCs w:val="22"/>
        </w:rPr>
        <w:t xml:space="preserve">, co stanowi 32,5% powierzchni </w:t>
      </w:r>
      <w:r w:rsidR="00902E6C" w:rsidRPr="00AA5213">
        <w:rPr>
          <w:rFonts w:ascii="Garamond" w:hAnsi="Garamond"/>
          <w:sz w:val="22"/>
          <w:szCs w:val="22"/>
        </w:rPr>
        <w:t xml:space="preserve">obszaru </w:t>
      </w:r>
      <w:r w:rsidR="007C776C" w:rsidRPr="00AA5213">
        <w:rPr>
          <w:rFonts w:ascii="Garamond" w:hAnsi="Garamond"/>
          <w:sz w:val="22"/>
          <w:szCs w:val="22"/>
        </w:rPr>
        <w:t>PLGR</w:t>
      </w:r>
      <w:r w:rsidRPr="00AA5213">
        <w:rPr>
          <w:rFonts w:ascii="Garamond" w:hAnsi="Garamond"/>
          <w:sz w:val="22"/>
          <w:szCs w:val="22"/>
        </w:rPr>
        <w:t>)</w:t>
      </w:r>
      <w:r w:rsidR="00EC1B52" w:rsidRPr="00AA5213">
        <w:rPr>
          <w:rFonts w:ascii="Garamond" w:hAnsi="Garamond"/>
          <w:sz w:val="22"/>
          <w:szCs w:val="22"/>
        </w:rPr>
        <w:t xml:space="preserve">. Warto zaznaczyć, iż ta forma ochrony występuje jedynie w </w:t>
      </w:r>
      <w:r w:rsidR="001B56D3" w:rsidRPr="00AA5213">
        <w:rPr>
          <w:rFonts w:ascii="Garamond" w:hAnsi="Garamond"/>
          <w:sz w:val="22"/>
          <w:szCs w:val="22"/>
        </w:rPr>
        <w:t xml:space="preserve">połowie gmin </w:t>
      </w:r>
      <w:r w:rsidR="00902E6C" w:rsidRPr="00AA5213">
        <w:rPr>
          <w:rFonts w:ascii="Garamond" w:hAnsi="Garamond"/>
          <w:sz w:val="22"/>
          <w:szCs w:val="22"/>
        </w:rPr>
        <w:t xml:space="preserve">tworzących obszar </w:t>
      </w:r>
      <w:r w:rsidR="001B56D3" w:rsidRPr="00AA5213">
        <w:rPr>
          <w:rFonts w:ascii="Garamond" w:hAnsi="Garamond"/>
          <w:sz w:val="22"/>
          <w:szCs w:val="22"/>
        </w:rPr>
        <w:t>PLGR tzn. Korowa (38,1%,) Puck (31,7%), Wejherowo (25,5%) i miasto Władysławowo (4,7%).</w:t>
      </w:r>
    </w:p>
    <w:p w:rsidR="00250339" w:rsidRPr="00AA5213" w:rsidRDefault="002C2AC9" w:rsidP="00250339">
      <w:pPr>
        <w:spacing w:after="0"/>
        <w:jc w:val="both"/>
        <w:rPr>
          <w:rFonts w:ascii="Garamond" w:hAnsi="Garamond"/>
          <w:sz w:val="22"/>
          <w:szCs w:val="22"/>
        </w:rPr>
      </w:pPr>
      <w:r w:rsidRPr="00AA5213">
        <w:rPr>
          <w:rFonts w:ascii="Garamond" w:hAnsi="Garamond"/>
          <w:sz w:val="22"/>
          <w:szCs w:val="22"/>
        </w:rPr>
        <w:t>Znaczne przestrzeni pokrywają również</w:t>
      </w:r>
      <w:r w:rsidR="00250339" w:rsidRPr="00AA5213">
        <w:rPr>
          <w:rFonts w:ascii="Garamond" w:hAnsi="Garamond"/>
          <w:sz w:val="22"/>
          <w:szCs w:val="22"/>
        </w:rPr>
        <w:t xml:space="preserve"> parki krajobrazowe (37,3% powierzchni chronionej</w:t>
      </w:r>
      <w:r w:rsidR="007C776C" w:rsidRPr="00AA5213">
        <w:rPr>
          <w:rFonts w:ascii="Garamond" w:hAnsi="Garamond"/>
          <w:sz w:val="22"/>
          <w:szCs w:val="22"/>
        </w:rPr>
        <w:t xml:space="preserve">, co stanowi 19,3% powierzchni </w:t>
      </w:r>
      <w:r w:rsidR="00902E6C" w:rsidRPr="00AA5213">
        <w:rPr>
          <w:rFonts w:ascii="Garamond" w:hAnsi="Garamond"/>
          <w:sz w:val="22"/>
          <w:szCs w:val="22"/>
        </w:rPr>
        <w:t xml:space="preserve">obszaru </w:t>
      </w:r>
      <w:r w:rsidR="007C776C" w:rsidRPr="00AA5213">
        <w:rPr>
          <w:rFonts w:ascii="Garamond" w:hAnsi="Garamond"/>
          <w:sz w:val="22"/>
          <w:szCs w:val="22"/>
        </w:rPr>
        <w:t>PLGR</w:t>
      </w:r>
      <w:r w:rsidR="00250339" w:rsidRPr="00AA5213">
        <w:rPr>
          <w:rFonts w:ascii="Garamond" w:hAnsi="Garamond"/>
          <w:sz w:val="22"/>
          <w:szCs w:val="22"/>
        </w:rPr>
        <w:t xml:space="preserve">), które </w:t>
      </w:r>
      <w:r w:rsidR="001B56D3" w:rsidRPr="00AA5213">
        <w:rPr>
          <w:rFonts w:ascii="Garamond" w:hAnsi="Garamond"/>
          <w:sz w:val="22"/>
          <w:szCs w:val="22"/>
        </w:rPr>
        <w:t>leżą w</w:t>
      </w:r>
      <w:r w:rsidR="00250339" w:rsidRPr="00AA5213">
        <w:rPr>
          <w:rFonts w:ascii="Garamond" w:hAnsi="Garamond"/>
          <w:sz w:val="22"/>
          <w:szCs w:val="22"/>
        </w:rPr>
        <w:t xml:space="preserve"> części wszystkich omawianych gmin. Są to Trójmiejski i Nadmorski Park Krajobrazowy</w:t>
      </w:r>
      <w:r w:rsidR="0047700C" w:rsidRPr="00AA5213">
        <w:rPr>
          <w:rFonts w:ascii="Garamond" w:hAnsi="Garamond"/>
          <w:sz w:val="22"/>
          <w:szCs w:val="22"/>
        </w:rPr>
        <w:t xml:space="preserve"> (warto zaznaczyć, iż 60% powierzchni parku </w:t>
      </w:r>
      <w:proofErr w:type="spellStart"/>
      <w:r w:rsidR="0047700C" w:rsidRPr="00AA5213">
        <w:rPr>
          <w:rFonts w:ascii="Garamond" w:hAnsi="Garamond"/>
          <w:sz w:val="22"/>
          <w:szCs w:val="22"/>
        </w:rPr>
        <w:t>tj</w:t>
      </w:r>
      <w:proofErr w:type="spellEnd"/>
      <w:r w:rsidR="0047700C" w:rsidRPr="00AA5213">
        <w:rPr>
          <w:rFonts w:ascii="Garamond" w:hAnsi="Garamond"/>
          <w:sz w:val="22"/>
          <w:szCs w:val="22"/>
        </w:rPr>
        <w:t>, niecałe 11,4 tys. ha stanowią wody Zatoki Puckiej)</w:t>
      </w:r>
      <w:r w:rsidR="00250339" w:rsidRPr="00AA5213">
        <w:rPr>
          <w:rFonts w:ascii="Garamond" w:hAnsi="Garamond"/>
          <w:sz w:val="22"/>
          <w:szCs w:val="22"/>
        </w:rPr>
        <w:t xml:space="preserve">. </w:t>
      </w:r>
      <w:r w:rsidR="007C776C" w:rsidRPr="00AA5213">
        <w:rPr>
          <w:rFonts w:ascii="Garamond" w:hAnsi="Garamond"/>
          <w:sz w:val="22"/>
          <w:szCs w:val="22"/>
        </w:rPr>
        <w:t xml:space="preserve">Na obszarze objętym Strategią znajduje się </w:t>
      </w:r>
      <w:r w:rsidR="0023402D" w:rsidRPr="00AA5213">
        <w:rPr>
          <w:rFonts w:ascii="Garamond" w:hAnsi="Garamond"/>
          <w:sz w:val="22"/>
          <w:szCs w:val="22"/>
        </w:rPr>
        <w:t xml:space="preserve">również </w:t>
      </w:r>
      <w:r w:rsidR="007C776C" w:rsidRPr="00AA5213">
        <w:rPr>
          <w:rFonts w:ascii="Garamond" w:hAnsi="Garamond"/>
          <w:sz w:val="22"/>
          <w:szCs w:val="22"/>
        </w:rPr>
        <w:t>186 pomników przyrody, które stanowią 6,6% tej formy ochrony w regionie.</w:t>
      </w:r>
      <w:r w:rsidR="0024240E" w:rsidRPr="00AA5213">
        <w:rPr>
          <w:rFonts w:ascii="Garamond" w:hAnsi="Garamond"/>
          <w:sz w:val="22"/>
          <w:szCs w:val="22"/>
        </w:rPr>
        <w:t xml:space="preserve"> Największy ich udział występuje w gminie Wejherowo (38,2% ze wszystkich </w:t>
      </w:r>
      <w:r w:rsidR="00902E6C" w:rsidRPr="00AA5213">
        <w:rPr>
          <w:rFonts w:ascii="Garamond" w:hAnsi="Garamond"/>
          <w:sz w:val="22"/>
          <w:szCs w:val="22"/>
        </w:rPr>
        <w:t xml:space="preserve">na obszarze </w:t>
      </w:r>
      <w:r w:rsidR="0024240E" w:rsidRPr="00AA5213">
        <w:rPr>
          <w:rFonts w:ascii="Garamond" w:hAnsi="Garamond"/>
          <w:sz w:val="22"/>
          <w:szCs w:val="22"/>
        </w:rPr>
        <w:t>PLGR) oraz gminie Krokowa (30,6%). Najmniej, bo 1 pomnik zlokalizowany jest w Jastarni a 2 w Helu.</w:t>
      </w:r>
    </w:p>
    <w:p w:rsidR="00272FCE" w:rsidRDefault="00DE0AB4" w:rsidP="001F7730">
      <w:pPr>
        <w:jc w:val="both"/>
        <w:rPr>
          <w:rFonts w:ascii="Garamond" w:hAnsi="Garamond"/>
          <w:sz w:val="22"/>
          <w:szCs w:val="22"/>
        </w:rPr>
      </w:pPr>
      <w:r w:rsidRPr="00AA5213">
        <w:rPr>
          <w:rFonts w:ascii="Garamond" w:hAnsi="Garamond"/>
          <w:sz w:val="22"/>
          <w:szCs w:val="22"/>
        </w:rPr>
        <w:t>Na obszarze objętym Strategią znajdują się również obszary Natura 2000. Wykluczając obszary wodne, stanowią one 17,2% powierzchni gmin.</w:t>
      </w:r>
    </w:p>
    <w:p w:rsidR="00502AF5" w:rsidRPr="00AA5213" w:rsidRDefault="0012159A" w:rsidP="0012159A">
      <w:pPr>
        <w:jc w:val="both"/>
        <w:rPr>
          <w:rFonts w:ascii="Garamond" w:hAnsi="Garamond"/>
          <w:sz w:val="22"/>
          <w:szCs w:val="22"/>
        </w:rPr>
      </w:pPr>
      <w:r w:rsidRPr="00AA5213">
        <w:rPr>
          <w:rFonts w:ascii="Garamond" w:hAnsi="Garamond"/>
          <w:sz w:val="22"/>
          <w:szCs w:val="22"/>
        </w:rPr>
        <w:t>Negatywne zjawisko, związane z presją inwestycyjną, w wyniku której następuje degradacja wielu terenów o wysokiej atrakcyjności przyrodniczo-krajobrazowej, dotyczy nie tylko obszarów o zachowanych cennych walorach przyrodniczych nie objętych ochroną, ale także obszarów chronionych (zwłaszcza obszarów chronionego krajobrazu oraz parków krajobrazowy</w:t>
      </w:r>
      <w:r w:rsidR="00E52FAB" w:rsidRPr="00AA5213">
        <w:rPr>
          <w:rFonts w:ascii="Garamond" w:hAnsi="Garamond"/>
          <w:sz w:val="22"/>
          <w:szCs w:val="22"/>
        </w:rPr>
        <w:t>ch w tym nadmorskiego)</w:t>
      </w:r>
      <w:r w:rsidRPr="00AA5213">
        <w:rPr>
          <w:rFonts w:ascii="Garamond" w:hAnsi="Garamond"/>
          <w:sz w:val="22"/>
          <w:szCs w:val="22"/>
        </w:rPr>
        <w:t xml:space="preserve"> (</w:t>
      </w:r>
      <w:r w:rsidR="00E52FAB" w:rsidRPr="00AA5213">
        <w:rPr>
          <w:rFonts w:ascii="Garamond" w:hAnsi="Garamond"/>
          <w:i/>
          <w:sz w:val="22"/>
          <w:szCs w:val="22"/>
        </w:rPr>
        <w:t>Raport o stanie…</w:t>
      </w:r>
      <w:r w:rsidR="00971BF6" w:rsidRPr="00AA5213">
        <w:rPr>
          <w:rFonts w:ascii="Garamond" w:hAnsi="Garamond"/>
          <w:sz w:val="22"/>
          <w:szCs w:val="22"/>
        </w:rPr>
        <w:t>, 2014</w:t>
      </w:r>
      <w:r w:rsidRPr="00AA5213">
        <w:rPr>
          <w:rFonts w:ascii="Garamond" w:hAnsi="Garamond"/>
          <w:sz w:val="22"/>
          <w:szCs w:val="22"/>
        </w:rPr>
        <w:t>)</w:t>
      </w:r>
      <w:r w:rsidR="00502AF5" w:rsidRPr="00AA5213">
        <w:rPr>
          <w:rFonts w:ascii="Garamond" w:hAnsi="Garamond"/>
          <w:sz w:val="22"/>
          <w:szCs w:val="22"/>
        </w:rPr>
        <w:t>.</w:t>
      </w:r>
    </w:p>
    <w:p w:rsidR="00D8179B" w:rsidRPr="00971BF6" w:rsidRDefault="00D8179B" w:rsidP="00D8179B">
      <w:pPr>
        <w:pStyle w:val="Default"/>
        <w:spacing w:line="276" w:lineRule="auto"/>
        <w:jc w:val="both"/>
        <w:rPr>
          <w:color w:val="auto"/>
          <w:sz w:val="23"/>
          <w:szCs w:val="23"/>
        </w:rPr>
      </w:pPr>
      <w:r w:rsidRPr="00AA5213">
        <w:rPr>
          <w:color w:val="auto"/>
          <w:sz w:val="22"/>
        </w:rPr>
        <w:lastRenderedPageBreak/>
        <w:t xml:space="preserve">Kolejnym przejawem ochrony środowiska jest </w:t>
      </w:r>
      <w:r w:rsidRPr="00AA5213">
        <w:rPr>
          <w:b/>
          <w:color w:val="4F6228" w:themeColor="accent3" w:themeShade="80"/>
          <w:sz w:val="22"/>
        </w:rPr>
        <w:t>rozwój odnawialnych źródeł energii</w:t>
      </w:r>
      <w:r w:rsidRPr="00AA5213">
        <w:rPr>
          <w:color w:val="auto"/>
          <w:sz w:val="22"/>
        </w:rPr>
        <w:t>. Na obszarze</w:t>
      </w:r>
      <w:r w:rsidRPr="00971BF6">
        <w:rPr>
          <w:color w:val="auto"/>
          <w:sz w:val="22"/>
        </w:rPr>
        <w:t xml:space="preserve"> PLGR zlokalizowane są ważne elementy wpływające na poprawę bezpieczeństwa energetycznego województwa pomorskiego. Należy do nich elektrownia wodna w Żarnowcu oraz, na bazie korzystnych warunków klimatycznych pasa nadmorskiego, elektrownie wiatrowe w gminie Puck (Swarzewo, </w:t>
      </w:r>
      <w:proofErr w:type="spellStart"/>
      <w:r w:rsidRPr="00971BF6">
        <w:rPr>
          <w:color w:val="auto"/>
          <w:sz w:val="22"/>
        </w:rPr>
        <w:t>Łebcz</w:t>
      </w:r>
      <w:proofErr w:type="spellEnd"/>
      <w:r w:rsidRPr="00971BF6">
        <w:rPr>
          <w:color w:val="auto"/>
          <w:sz w:val="22"/>
        </w:rPr>
        <w:t xml:space="preserve">, Gnieżdżewo, Połczyno). Znacznym potencjałem dysponują również </w:t>
      </w:r>
      <w:r w:rsidRPr="00971BF6">
        <w:rPr>
          <w:color w:val="auto"/>
          <w:sz w:val="23"/>
          <w:szCs w:val="23"/>
        </w:rPr>
        <w:t>indywidualne instalacje solarne, które zainst</w:t>
      </w:r>
      <w:r w:rsidR="009930F2" w:rsidRPr="00971BF6">
        <w:rPr>
          <w:color w:val="auto"/>
          <w:sz w:val="23"/>
          <w:szCs w:val="23"/>
        </w:rPr>
        <w:t xml:space="preserve">alowane są w każdej gminie </w:t>
      </w:r>
      <w:r w:rsidR="00902E6C" w:rsidRPr="00971BF6">
        <w:rPr>
          <w:color w:val="auto"/>
          <w:sz w:val="23"/>
          <w:szCs w:val="23"/>
        </w:rPr>
        <w:t xml:space="preserve">obszaru </w:t>
      </w:r>
      <w:r w:rsidR="009930F2" w:rsidRPr="00971BF6">
        <w:rPr>
          <w:color w:val="auto"/>
          <w:sz w:val="23"/>
          <w:szCs w:val="23"/>
        </w:rPr>
        <w:t>PLGR (</w:t>
      </w:r>
      <w:r w:rsidR="009930F2" w:rsidRPr="00971BF6">
        <w:rPr>
          <w:i/>
          <w:color w:val="auto"/>
          <w:sz w:val="22"/>
          <w:szCs w:val="22"/>
        </w:rPr>
        <w:t>Raport o stanie…</w:t>
      </w:r>
      <w:r w:rsidR="009930F2" w:rsidRPr="00971BF6">
        <w:rPr>
          <w:color w:val="auto"/>
          <w:sz w:val="22"/>
          <w:szCs w:val="22"/>
        </w:rPr>
        <w:t>, 2014)</w:t>
      </w:r>
    </w:p>
    <w:p w:rsidR="00D8179B" w:rsidRPr="00AA5213" w:rsidRDefault="00D8179B" w:rsidP="00D8179B">
      <w:pPr>
        <w:pStyle w:val="Default"/>
        <w:spacing w:before="240" w:after="240" w:line="276" w:lineRule="auto"/>
        <w:jc w:val="both"/>
        <w:rPr>
          <w:color w:val="auto"/>
          <w:sz w:val="22"/>
        </w:rPr>
      </w:pPr>
      <w:r w:rsidRPr="00971BF6">
        <w:rPr>
          <w:color w:val="auto"/>
          <w:sz w:val="22"/>
        </w:rPr>
        <w:t>W zakresie energetyki, na uwagę zasługują również lokalne źródła gazu. Na obszarze PLGR, zlokalizowana jest kopalnia gazu (w pobliżu Żarnowca w gminie Krokowa), która zaopatruje w gaz gminę Krokowa i Puck. Ważną funkcję pełni również platforma wiertnicza firmy „Petrobaltic” zlokalizowana na morzu. Gaz pozyskiwany przy okazji wydobywania ropy naftowej przesyłany jest rurociągiem do Władysławowa, gdzie zasila miasto i elektrociepłownię gazową oraz stanowi źródło produkcji gazu płynnego (LPG).</w:t>
      </w:r>
      <w:r w:rsidR="00D74E2B" w:rsidRPr="00971BF6">
        <w:rPr>
          <w:color w:val="auto"/>
          <w:sz w:val="22"/>
        </w:rPr>
        <w:t xml:space="preserve"> Dzięki temu od 2007 r. do 2012 r. znacznie wzrósł udział mieszkańców z tych gmin, korzys</w:t>
      </w:r>
      <w:r w:rsidR="00FC3274" w:rsidRPr="00971BF6">
        <w:rPr>
          <w:color w:val="auto"/>
          <w:sz w:val="22"/>
        </w:rPr>
        <w:t>tających z sieci gazowej tj. we Władysławowie o 13,8 p proc. (do 23,4%), po 10,9 p proc. w Kosakowie (do 47,5%) i Krokowej (do 33,9%).</w:t>
      </w:r>
      <w:r w:rsidR="005C17BD" w:rsidRPr="00971BF6">
        <w:rPr>
          <w:color w:val="auto"/>
          <w:sz w:val="22"/>
        </w:rPr>
        <w:t xml:space="preserve"> Natomiast najmniej </w:t>
      </w:r>
      <w:r w:rsidR="005C17BD" w:rsidRPr="00AA5213">
        <w:rPr>
          <w:color w:val="auto"/>
          <w:sz w:val="22"/>
        </w:rPr>
        <w:t xml:space="preserve">osób korzystających z sieci gazowej jest w Helu (0,1%), gminie Puck (3,8%) oraz Wejherowo (7,7%). Warto zaznaczyć, iż mimo znacznego potencjału żadna z gmin należąca do </w:t>
      </w:r>
      <w:r w:rsidR="00902E6C" w:rsidRPr="00AA5213">
        <w:rPr>
          <w:color w:val="auto"/>
          <w:sz w:val="22"/>
        </w:rPr>
        <w:t xml:space="preserve">obszaru </w:t>
      </w:r>
      <w:r w:rsidR="005C17BD" w:rsidRPr="00AA5213">
        <w:rPr>
          <w:color w:val="auto"/>
          <w:sz w:val="22"/>
        </w:rPr>
        <w:t>PLGR nie przekroczyła średniej wojewódzkiej, która wynosi 49,9%.</w:t>
      </w:r>
    </w:p>
    <w:p w:rsidR="000765E8" w:rsidRPr="00AA5213" w:rsidRDefault="00FF7FCD" w:rsidP="000016AB">
      <w:pPr>
        <w:pStyle w:val="Default"/>
        <w:spacing w:after="240" w:line="276" w:lineRule="auto"/>
        <w:jc w:val="both"/>
        <w:rPr>
          <w:color w:val="auto"/>
          <w:sz w:val="22"/>
        </w:rPr>
      </w:pPr>
      <w:r w:rsidRPr="00AA5213">
        <w:rPr>
          <w:color w:val="auto"/>
          <w:sz w:val="22"/>
        </w:rPr>
        <w:t xml:space="preserve">Ważnym aspektem dobrego stanu środowiska są </w:t>
      </w:r>
      <w:r w:rsidR="00FC3274" w:rsidRPr="00AA5213">
        <w:rPr>
          <w:color w:val="auto"/>
          <w:sz w:val="22"/>
        </w:rPr>
        <w:t xml:space="preserve">wspomniane już </w:t>
      </w:r>
      <w:r w:rsidRPr="00AA5213">
        <w:rPr>
          <w:color w:val="auto"/>
          <w:sz w:val="22"/>
        </w:rPr>
        <w:t xml:space="preserve">urządzenia sieciowe. </w:t>
      </w:r>
      <w:r w:rsidRPr="00AA5213">
        <w:rPr>
          <w:b/>
          <w:color w:val="4F6228" w:themeColor="accent3" w:themeShade="80"/>
          <w:sz w:val="22"/>
        </w:rPr>
        <w:t>W odniesieniu do osób korzystających z sieci kanalizacyjnej i wodociągowej, obszar PLGR jest znacznie zróżnicowany</w:t>
      </w:r>
      <w:r w:rsidRPr="00AA5213">
        <w:rPr>
          <w:color w:val="auto"/>
          <w:sz w:val="22"/>
        </w:rPr>
        <w:t xml:space="preserve">. </w:t>
      </w:r>
      <w:r w:rsidR="004A2720" w:rsidRPr="00AA5213">
        <w:rPr>
          <w:color w:val="auto"/>
          <w:sz w:val="22"/>
        </w:rPr>
        <w:t>W 2012 r. n</w:t>
      </w:r>
      <w:r w:rsidR="004B5336" w:rsidRPr="00AA5213">
        <w:rPr>
          <w:color w:val="auto"/>
          <w:sz w:val="22"/>
        </w:rPr>
        <w:t>ajlepsza sytuacja występowała</w:t>
      </w:r>
      <w:r w:rsidR="004E10A4" w:rsidRPr="00AA5213">
        <w:rPr>
          <w:color w:val="auto"/>
          <w:sz w:val="22"/>
        </w:rPr>
        <w:t xml:space="preserve"> w Jastarni i Władysławowie, gdzie jedynie 0,4% i 0,9% mieszkańców nie </w:t>
      </w:r>
      <w:r w:rsidR="004B5336" w:rsidRPr="00AA5213">
        <w:rPr>
          <w:color w:val="auto"/>
          <w:sz w:val="22"/>
        </w:rPr>
        <w:t>była</w:t>
      </w:r>
      <w:r w:rsidR="004E10A4" w:rsidRPr="00AA5213">
        <w:rPr>
          <w:color w:val="auto"/>
          <w:sz w:val="22"/>
        </w:rPr>
        <w:t xml:space="preserve"> podłączona do sieci wodociągowej oraz 1,9% i 2,9% do kanalizacji.</w:t>
      </w:r>
      <w:r w:rsidR="004A2720" w:rsidRPr="00AA5213">
        <w:rPr>
          <w:color w:val="auto"/>
          <w:sz w:val="22"/>
        </w:rPr>
        <w:t xml:space="preserve"> Z kolei najmniej osób korzysta z sieci wodociągowej i kanalizacyjnej w gminie Wejherowo (odpowiednio 72% i 6,8%). Jest to zarazem gmina, która od 2007 r. odnotowała największy wzrost udziału </w:t>
      </w:r>
      <w:r w:rsidR="004B5336" w:rsidRPr="00AA5213">
        <w:rPr>
          <w:color w:val="auto"/>
          <w:sz w:val="22"/>
        </w:rPr>
        <w:t xml:space="preserve">osób, niemniej, nie spowodował on </w:t>
      </w:r>
      <w:r w:rsidR="004A2720" w:rsidRPr="00AA5213">
        <w:rPr>
          <w:color w:val="auto"/>
          <w:sz w:val="22"/>
        </w:rPr>
        <w:t>zniwelowania różnic.</w:t>
      </w:r>
      <w:r w:rsidR="00D60C71" w:rsidRPr="00AA5213">
        <w:rPr>
          <w:color w:val="auto"/>
          <w:sz w:val="22"/>
        </w:rPr>
        <w:t xml:space="preserve"> W zakresie sieci wodociągowej wartości poniżej średniej wojewódzkiej (93,0%) posiada jedynie gmina Krokowa (87,2%), natomiast w zakresie sieci wodociągowej, gdzie średnia </w:t>
      </w:r>
      <w:r w:rsidR="004B5336" w:rsidRPr="00AA5213">
        <w:rPr>
          <w:color w:val="auto"/>
          <w:sz w:val="22"/>
        </w:rPr>
        <w:t>dla</w:t>
      </w:r>
      <w:r w:rsidR="00D60C71" w:rsidRPr="00AA5213">
        <w:rPr>
          <w:color w:val="auto"/>
          <w:sz w:val="22"/>
        </w:rPr>
        <w:t xml:space="preserve"> pomorskiego wynosi 77,2%, są to gmina Puck (60,1%), Kosakowo (67,9%) i Krokowa (69,2%).</w:t>
      </w:r>
    </w:p>
    <w:p w:rsidR="00502AF5" w:rsidRPr="00971BF6" w:rsidRDefault="00502AF5" w:rsidP="000016AB">
      <w:pPr>
        <w:pStyle w:val="Default"/>
        <w:spacing w:after="240" w:line="276" w:lineRule="auto"/>
        <w:jc w:val="both"/>
        <w:rPr>
          <w:color w:val="auto"/>
          <w:sz w:val="22"/>
        </w:rPr>
      </w:pPr>
      <w:r w:rsidRPr="00AA5213">
        <w:rPr>
          <w:color w:val="auto"/>
          <w:sz w:val="22"/>
        </w:rPr>
        <w:t xml:space="preserve">Również </w:t>
      </w:r>
      <w:r w:rsidRPr="00AA5213">
        <w:rPr>
          <w:b/>
          <w:color w:val="4F6228" w:themeColor="accent3" w:themeShade="80"/>
          <w:sz w:val="22"/>
        </w:rPr>
        <w:t xml:space="preserve">znaczne różnice widoczne są w przypadku </w:t>
      </w:r>
      <w:r w:rsidR="00353367" w:rsidRPr="00AA5213">
        <w:rPr>
          <w:b/>
          <w:color w:val="4F6228" w:themeColor="accent3" w:themeShade="80"/>
          <w:sz w:val="22"/>
        </w:rPr>
        <w:t>komunalnych</w:t>
      </w:r>
      <w:r w:rsidRPr="00AA5213">
        <w:rPr>
          <w:b/>
          <w:color w:val="4F6228" w:themeColor="accent3" w:themeShade="80"/>
          <w:sz w:val="22"/>
        </w:rPr>
        <w:t xml:space="preserve"> oczyszczalni ścieków</w:t>
      </w:r>
      <w:r w:rsidRPr="00AA5213">
        <w:rPr>
          <w:color w:val="auto"/>
          <w:sz w:val="22"/>
        </w:rPr>
        <w:t>. Najgorsza sytuacja ma miejsce w gminie Wejherowo, gdzie jedynie 29,5%</w:t>
      </w:r>
      <w:r w:rsidR="00353367" w:rsidRPr="00AA5213">
        <w:rPr>
          <w:color w:val="auto"/>
          <w:sz w:val="22"/>
        </w:rPr>
        <w:t xml:space="preserve"> mieszkańców korzysta z oczyszczalni ścieków (istotne jest, iż w latach 2007-2008 odsetek ten wynosił 0). Z kolei w miastach Jastarnia, Hel,  Władysławowo i Puck odsetki te wynoszą blisko 100% (tj. odpowiednio 99,9%, 99,5%, 98,3% oraz 97,5%).</w:t>
      </w:r>
    </w:p>
    <w:p w:rsidR="00F5537D" w:rsidRPr="007A697E" w:rsidRDefault="00B51408" w:rsidP="008C5F0B">
      <w:pPr>
        <w:shd w:val="clear" w:color="auto" w:fill="E36C0A" w:themeFill="accent6" w:themeFillShade="BF"/>
        <w:spacing w:after="0" w:line="240" w:lineRule="auto"/>
        <w:jc w:val="center"/>
        <w:rPr>
          <w:rFonts w:ascii="Garamond" w:hAnsi="Garamond"/>
          <w:b/>
          <w:sz w:val="22"/>
          <w:szCs w:val="22"/>
        </w:rPr>
      </w:pPr>
      <w:r w:rsidRPr="007A697E">
        <w:rPr>
          <w:rFonts w:ascii="Garamond" w:hAnsi="Garamond"/>
          <w:b/>
          <w:sz w:val="22"/>
          <w:szCs w:val="22"/>
        </w:rPr>
        <w:t>SPÓJNOŚĆ</w:t>
      </w:r>
    </w:p>
    <w:p w:rsidR="00971FB7" w:rsidRDefault="00971FB7" w:rsidP="00250339">
      <w:pPr>
        <w:spacing w:after="0"/>
        <w:jc w:val="both"/>
        <w:rPr>
          <w:rFonts w:ascii="Garamond" w:hAnsi="Garamond"/>
          <w:sz w:val="22"/>
          <w:szCs w:val="22"/>
        </w:rPr>
      </w:pPr>
    </w:p>
    <w:p w:rsidR="00B51408" w:rsidRPr="00971BF6" w:rsidRDefault="00B51408" w:rsidP="00991D20">
      <w:pPr>
        <w:spacing w:after="0"/>
        <w:jc w:val="both"/>
        <w:rPr>
          <w:rFonts w:ascii="Garamond" w:hAnsi="Garamond"/>
          <w:sz w:val="22"/>
          <w:szCs w:val="22"/>
        </w:rPr>
      </w:pPr>
      <w:r w:rsidRPr="00971BF6">
        <w:rPr>
          <w:rFonts w:ascii="Garamond" w:hAnsi="Garamond"/>
          <w:sz w:val="22"/>
          <w:szCs w:val="22"/>
        </w:rPr>
        <w:t xml:space="preserve">Powyższy zakres opracowania ukazuje specyfikę obszaru </w:t>
      </w:r>
      <w:proofErr w:type="spellStart"/>
      <w:r w:rsidRPr="00971BF6">
        <w:rPr>
          <w:rFonts w:ascii="Garamond" w:hAnsi="Garamond"/>
          <w:sz w:val="22"/>
          <w:szCs w:val="22"/>
        </w:rPr>
        <w:t>Północnokaszubskiej</w:t>
      </w:r>
      <w:proofErr w:type="spellEnd"/>
      <w:r w:rsidRPr="00971BF6">
        <w:rPr>
          <w:rFonts w:ascii="Garamond" w:hAnsi="Garamond"/>
          <w:sz w:val="22"/>
          <w:szCs w:val="22"/>
        </w:rPr>
        <w:t xml:space="preserve"> Lokalnej Grupy Rybackiej, którą można zawrzeć w </w:t>
      </w:r>
      <w:r w:rsidR="00991D20" w:rsidRPr="00971BF6">
        <w:rPr>
          <w:rFonts w:ascii="Garamond" w:hAnsi="Garamond"/>
          <w:sz w:val="22"/>
          <w:szCs w:val="22"/>
        </w:rPr>
        <w:t>kilku zakresach spójności.</w:t>
      </w:r>
    </w:p>
    <w:p w:rsidR="007A697E" w:rsidRPr="00971BF6" w:rsidRDefault="00991D20" w:rsidP="00991D20">
      <w:pPr>
        <w:spacing w:after="0"/>
        <w:jc w:val="both"/>
        <w:rPr>
          <w:rFonts w:ascii="Garamond" w:hAnsi="Garamond"/>
          <w:sz w:val="22"/>
          <w:szCs w:val="22"/>
        </w:rPr>
      </w:pPr>
      <w:r w:rsidRPr="00971BF6">
        <w:rPr>
          <w:rFonts w:ascii="Garamond" w:hAnsi="Garamond"/>
          <w:sz w:val="22"/>
          <w:szCs w:val="22"/>
        </w:rPr>
        <w:t xml:space="preserve">Widoczna jest bowiem </w:t>
      </w:r>
      <w:r w:rsidRPr="008C5F0B">
        <w:rPr>
          <w:rFonts w:ascii="Garamond" w:hAnsi="Garamond"/>
          <w:b/>
          <w:color w:val="E36C0A" w:themeColor="accent6" w:themeShade="BF"/>
          <w:sz w:val="22"/>
          <w:szCs w:val="22"/>
        </w:rPr>
        <w:t>spójność przyrodnicza</w:t>
      </w:r>
      <w:r w:rsidRPr="00971BF6">
        <w:rPr>
          <w:rFonts w:ascii="Garamond" w:hAnsi="Garamond"/>
          <w:sz w:val="22"/>
          <w:szCs w:val="22"/>
        </w:rPr>
        <w:t xml:space="preserve">, związana z nadmorskim położeniem. W jej efekcie występuje </w:t>
      </w:r>
      <w:r w:rsidRPr="008C5F0B">
        <w:rPr>
          <w:rFonts w:ascii="Garamond" w:hAnsi="Garamond"/>
          <w:b/>
          <w:color w:val="E36C0A" w:themeColor="accent6" w:themeShade="BF"/>
          <w:sz w:val="22"/>
          <w:szCs w:val="22"/>
        </w:rPr>
        <w:t>spójność gospodarcza</w:t>
      </w:r>
      <w:r w:rsidRPr="008C5F0B">
        <w:rPr>
          <w:rFonts w:ascii="Garamond" w:hAnsi="Garamond"/>
          <w:color w:val="E36C0A" w:themeColor="accent6" w:themeShade="BF"/>
          <w:sz w:val="22"/>
          <w:szCs w:val="22"/>
        </w:rPr>
        <w:t xml:space="preserve"> </w:t>
      </w:r>
      <w:r w:rsidRPr="00971BF6">
        <w:rPr>
          <w:rFonts w:ascii="Garamond" w:hAnsi="Garamond"/>
          <w:sz w:val="22"/>
          <w:szCs w:val="22"/>
        </w:rPr>
        <w:t xml:space="preserve">rozwijająca się wokół rybołówstwa i turystyki. </w:t>
      </w:r>
    </w:p>
    <w:p w:rsidR="00EF76B9" w:rsidRDefault="00991D20" w:rsidP="00250339">
      <w:pPr>
        <w:spacing w:after="0"/>
        <w:jc w:val="both"/>
        <w:rPr>
          <w:rFonts w:ascii="Garamond" w:hAnsi="Garamond"/>
          <w:sz w:val="22"/>
          <w:szCs w:val="22"/>
        </w:rPr>
      </w:pPr>
      <w:r w:rsidRPr="00971BF6">
        <w:rPr>
          <w:rFonts w:ascii="Garamond" w:hAnsi="Garamond"/>
          <w:sz w:val="22"/>
          <w:szCs w:val="22"/>
        </w:rPr>
        <w:t xml:space="preserve">Całość związana jest ze </w:t>
      </w:r>
      <w:r w:rsidRPr="008C5F0B">
        <w:rPr>
          <w:rFonts w:ascii="Garamond" w:hAnsi="Garamond"/>
          <w:b/>
          <w:color w:val="E36C0A" w:themeColor="accent6" w:themeShade="BF"/>
          <w:sz w:val="22"/>
          <w:szCs w:val="22"/>
        </w:rPr>
        <w:t>spójnością kulturową</w:t>
      </w:r>
      <w:r w:rsidRPr="008C5F0B">
        <w:rPr>
          <w:rFonts w:ascii="Garamond" w:hAnsi="Garamond"/>
          <w:color w:val="E36C0A" w:themeColor="accent6" w:themeShade="BF"/>
          <w:sz w:val="22"/>
          <w:szCs w:val="22"/>
        </w:rPr>
        <w:t xml:space="preserve"> </w:t>
      </w:r>
      <w:r w:rsidRPr="00971BF6">
        <w:rPr>
          <w:rFonts w:ascii="Garamond" w:hAnsi="Garamond"/>
          <w:sz w:val="22"/>
          <w:szCs w:val="22"/>
        </w:rPr>
        <w:t>wyróżniających się na tym obszarze Kaszubów.</w:t>
      </w:r>
    </w:p>
    <w:p w:rsidR="003F512A" w:rsidRDefault="003F512A" w:rsidP="00250339">
      <w:pPr>
        <w:spacing w:after="0"/>
        <w:jc w:val="both"/>
        <w:rPr>
          <w:rFonts w:ascii="Garamond" w:hAnsi="Garamond"/>
          <w:sz w:val="22"/>
          <w:szCs w:val="22"/>
        </w:rPr>
      </w:pPr>
    </w:p>
    <w:p w:rsidR="003F512A" w:rsidRDefault="003F512A" w:rsidP="00250339">
      <w:pPr>
        <w:spacing w:after="0"/>
        <w:jc w:val="both"/>
        <w:rPr>
          <w:rFonts w:ascii="Garamond" w:hAnsi="Garamond"/>
          <w:sz w:val="22"/>
          <w:szCs w:val="22"/>
        </w:rPr>
      </w:pPr>
    </w:p>
    <w:p w:rsidR="003F512A" w:rsidRDefault="003F512A" w:rsidP="00250339">
      <w:pPr>
        <w:spacing w:after="0"/>
        <w:jc w:val="both"/>
        <w:rPr>
          <w:rFonts w:ascii="Garamond" w:hAnsi="Garamond"/>
          <w:sz w:val="22"/>
          <w:szCs w:val="22"/>
        </w:rPr>
      </w:pPr>
    </w:p>
    <w:p w:rsidR="00EF76B9" w:rsidRDefault="00EF76B9" w:rsidP="00250339">
      <w:pPr>
        <w:spacing w:after="0"/>
        <w:jc w:val="both"/>
        <w:rPr>
          <w:rFonts w:ascii="Garamond" w:hAnsi="Garamond"/>
          <w:sz w:val="22"/>
          <w:szCs w:val="22"/>
        </w:rPr>
      </w:pPr>
      <w:r>
        <w:rPr>
          <w:rFonts w:ascii="Garamond" w:hAnsi="Garamond"/>
          <w:sz w:val="22"/>
          <w:szCs w:val="22"/>
        </w:rPr>
        <w:t>Literatura:</w:t>
      </w:r>
    </w:p>
    <w:p w:rsidR="00991D20" w:rsidRPr="00991D20" w:rsidRDefault="00991D20" w:rsidP="00991D20">
      <w:pPr>
        <w:pStyle w:val="Akapitzlist"/>
        <w:numPr>
          <w:ilvl w:val="0"/>
          <w:numId w:val="1"/>
        </w:numPr>
        <w:autoSpaceDE w:val="0"/>
        <w:autoSpaceDN w:val="0"/>
        <w:adjustRightInd w:val="0"/>
        <w:spacing w:after="0" w:line="240" w:lineRule="auto"/>
        <w:jc w:val="both"/>
        <w:rPr>
          <w:rFonts w:ascii="Garamond" w:hAnsi="Garamond" w:cs="Arial"/>
          <w:sz w:val="22"/>
          <w:szCs w:val="22"/>
          <w:lang w:eastAsia="en-US"/>
        </w:rPr>
      </w:pPr>
      <w:r>
        <w:rPr>
          <w:rFonts w:ascii="Garamond" w:hAnsi="Garamond" w:cs="Garamond"/>
          <w:i/>
          <w:sz w:val="22"/>
          <w:szCs w:val="24"/>
          <w:lang w:eastAsia="en-US"/>
        </w:rPr>
        <w:t>Raport o stanie zagospodarowania przestrzennego województwa pomorskiego 2009-2012, 2014, Pomorskie Biuro Planowania Regionalnego, Gdańsk</w:t>
      </w:r>
    </w:p>
    <w:p w:rsidR="00EF76B9" w:rsidRPr="00C447D3" w:rsidRDefault="00A31960" w:rsidP="00A31960">
      <w:pPr>
        <w:pStyle w:val="Akapitzlist"/>
        <w:numPr>
          <w:ilvl w:val="0"/>
          <w:numId w:val="1"/>
        </w:numPr>
        <w:autoSpaceDE w:val="0"/>
        <w:autoSpaceDN w:val="0"/>
        <w:adjustRightInd w:val="0"/>
        <w:spacing w:after="0" w:line="240" w:lineRule="auto"/>
        <w:jc w:val="both"/>
        <w:rPr>
          <w:rFonts w:ascii="Garamond" w:hAnsi="Garamond" w:cs="Arial"/>
          <w:sz w:val="22"/>
          <w:szCs w:val="22"/>
          <w:lang w:eastAsia="en-US"/>
        </w:rPr>
      </w:pPr>
      <w:r w:rsidRPr="00EF76B9">
        <w:rPr>
          <w:rFonts w:ascii="Garamond" w:hAnsi="Garamond" w:cs="Garamond"/>
          <w:i/>
          <w:sz w:val="22"/>
          <w:szCs w:val="24"/>
          <w:lang w:eastAsia="en-US"/>
        </w:rPr>
        <w:t>Regionalny Program Strategiczny w zakresie transportu</w:t>
      </w:r>
      <w:r>
        <w:rPr>
          <w:rFonts w:ascii="Garamond" w:hAnsi="Garamond" w:cs="Garamond"/>
          <w:i/>
          <w:sz w:val="22"/>
          <w:szCs w:val="24"/>
          <w:lang w:eastAsia="en-US"/>
        </w:rPr>
        <w:t xml:space="preserve"> „Mobilne Pomorze”</w:t>
      </w:r>
    </w:p>
    <w:p w:rsidR="001A3DE3" w:rsidRPr="00DC4658" w:rsidRDefault="00DC4658" w:rsidP="001A3DE3">
      <w:pPr>
        <w:pStyle w:val="Akapitzlist"/>
        <w:numPr>
          <w:ilvl w:val="0"/>
          <w:numId w:val="1"/>
        </w:numPr>
        <w:autoSpaceDE w:val="0"/>
        <w:autoSpaceDN w:val="0"/>
        <w:adjustRightInd w:val="0"/>
        <w:spacing w:after="0" w:line="240" w:lineRule="auto"/>
        <w:jc w:val="both"/>
        <w:rPr>
          <w:rFonts w:ascii="Garamond" w:hAnsi="Garamond" w:cs="Arial"/>
          <w:sz w:val="22"/>
          <w:szCs w:val="22"/>
          <w:lang w:eastAsia="en-US"/>
        </w:rPr>
      </w:pPr>
      <w:r w:rsidRPr="00DC4658">
        <w:rPr>
          <w:rFonts w:ascii="Garamond" w:hAnsi="Garamond"/>
          <w:sz w:val="22"/>
          <w:szCs w:val="22"/>
        </w:rPr>
        <w:t>http://bazy.ngo.pl</w:t>
      </w:r>
    </w:p>
    <w:p w:rsidR="00DC4658" w:rsidRPr="001A3DE3" w:rsidRDefault="00DC4658" w:rsidP="001A3DE3">
      <w:pPr>
        <w:pStyle w:val="Akapitzlist"/>
        <w:numPr>
          <w:ilvl w:val="0"/>
          <w:numId w:val="1"/>
        </w:numPr>
        <w:autoSpaceDE w:val="0"/>
        <w:autoSpaceDN w:val="0"/>
        <w:adjustRightInd w:val="0"/>
        <w:spacing w:after="0" w:line="240" w:lineRule="auto"/>
        <w:jc w:val="both"/>
        <w:rPr>
          <w:rFonts w:ascii="Garamond" w:hAnsi="Garamond" w:cs="Arial"/>
          <w:sz w:val="22"/>
          <w:szCs w:val="22"/>
          <w:lang w:eastAsia="en-US"/>
        </w:rPr>
      </w:pPr>
      <w:r w:rsidRPr="0094451C">
        <w:rPr>
          <w:rFonts w:ascii="Garamond" w:hAnsi="Garamond"/>
          <w:sz w:val="22"/>
          <w:szCs w:val="22"/>
        </w:rPr>
        <w:lastRenderedPageBreak/>
        <w:t>http://rzucewo.com</w:t>
      </w:r>
    </w:p>
    <w:p w:rsidR="00991D20" w:rsidRDefault="00991D20" w:rsidP="00991D20">
      <w:pPr>
        <w:pStyle w:val="Akapitzlist"/>
        <w:numPr>
          <w:ilvl w:val="0"/>
          <w:numId w:val="1"/>
        </w:numPr>
        <w:autoSpaceDE w:val="0"/>
        <w:autoSpaceDN w:val="0"/>
        <w:adjustRightInd w:val="0"/>
        <w:spacing w:after="0" w:line="240" w:lineRule="auto"/>
        <w:jc w:val="both"/>
        <w:rPr>
          <w:rFonts w:ascii="Garamond" w:hAnsi="Garamond" w:cs="Arial"/>
          <w:sz w:val="22"/>
          <w:szCs w:val="22"/>
          <w:lang w:eastAsia="en-US"/>
        </w:rPr>
      </w:pPr>
      <w:r w:rsidRPr="007A697E">
        <w:rPr>
          <w:rFonts w:ascii="Garamond" w:hAnsi="Garamond" w:cs="Arial"/>
          <w:sz w:val="22"/>
          <w:szCs w:val="22"/>
          <w:lang w:eastAsia="en-US"/>
        </w:rPr>
        <w:t>http://stat.gov.pl</w:t>
      </w:r>
    </w:p>
    <w:p w:rsidR="00991D20" w:rsidRPr="00991D20" w:rsidRDefault="00991D20" w:rsidP="00991D20">
      <w:pPr>
        <w:autoSpaceDE w:val="0"/>
        <w:autoSpaceDN w:val="0"/>
        <w:adjustRightInd w:val="0"/>
        <w:spacing w:after="0" w:line="240" w:lineRule="auto"/>
        <w:jc w:val="both"/>
        <w:rPr>
          <w:rFonts w:ascii="Garamond" w:hAnsi="Garamond" w:cs="Arial"/>
          <w:sz w:val="22"/>
          <w:szCs w:val="22"/>
          <w:lang w:eastAsia="en-US"/>
        </w:rPr>
      </w:pPr>
    </w:p>
    <w:sectPr w:rsidR="00991D20" w:rsidRPr="00991D20" w:rsidSect="008A6A2F">
      <w:footerReference w:type="default" r:id="rId10"/>
      <w:pgSz w:w="11906" w:h="16838"/>
      <w:pgMar w:top="993"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2C4C" w:rsidRDefault="005E2C4C" w:rsidP="00CE62F5">
      <w:pPr>
        <w:spacing w:after="0" w:line="240" w:lineRule="auto"/>
      </w:pPr>
      <w:r>
        <w:separator/>
      </w:r>
    </w:p>
  </w:endnote>
  <w:endnote w:type="continuationSeparator" w:id="0">
    <w:p w:rsidR="005E2C4C" w:rsidRDefault="005E2C4C" w:rsidP="00CE62F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6434584"/>
      <w:docPartObj>
        <w:docPartGallery w:val="Page Numbers (Bottom of Page)"/>
        <w:docPartUnique/>
      </w:docPartObj>
    </w:sdtPr>
    <w:sdtEndPr>
      <w:rPr>
        <w:rFonts w:ascii="Garamond" w:hAnsi="Garamond"/>
      </w:rPr>
    </w:sdtEndPr>
    <w:sdtContent>
      <w:p w:rsidR="00387C6E" w:rsidRPr="00F15D10" w:rsidRDefault="00C93FCE">
        <w:pPr>
          <w:pStyle w:val="Stopka"/>
          <w:jc w:val="right"/>
          <w:rPr>
            <w:rFonts w:ascii="Garamond" w:hAnsi="Garamond"/>
          </w:rPr>
        </w:pPr>
        <w:r w:rsidRPr="00F15D10">
          <w:rPr>
            <w:rFonts w:ascii="Garamond" w:hAnsi="Garamond"/>
          </w:rPr>
          <w:fldChar w:fldCharType="begin"/>
        </w:r>
        <w:r w:rsidR="00387C6E" w:rsidRPr="00F15D10">
          <w:rPr>
            <w:rFonts w:ascii="Garamond" w:hAnsi="Garamond"/>
          </w:rPr>
          <w:instrText>PAGE   \* MERGEFORMAT</w:instrText>
        </w:r>
        <w:r w:rsidRPr="00F15D10">
          <w:rPr>
            <w:rFonts w:ascii="Garamond" w:hAnsi="Garamond"/>
          </w:rPr>
          <w:fldChar w:fldCharType="separate"/>
        </w:r>
        <w:r w:rsidR="00251D86">
          <w:rPr>
            <w:rFonts w:ascii="Garamond" w:hAnsi="Garamond"/>
            <w:noProof/>
          </w:rPr>
          <w:t>2</w:t>
        </w:r>
        <w:r w:rsidRPr="00F15D10">
          <w:rPr>
            <w:rFonts w:ascii="Garamond" w:hAnsi="Garamond"/>
          </w:rPr>
          <w:fldChar w:fldCharType="end"/>
        </w:r>
      </w:p>
    </w:sdtContent>
  </w:sdt>
  <w:p w:rsidR="00387C6E" w:rsidRDefault="00387C6E">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2C4C" w:rsidRDefault="005E2C4C" w:rsidP="00CE62F5">
      <w:pPr>
        <w:spacing w:after="0" w:line="240" w:lineRule="auto"/>
      </w:pPr>
      <w:r>
        <w:separator/>
      </w:r>
    </w:p>
  </w:footnote>
  <w:footnote w:type="continuationSeparator" w:id="0">
    <w:p w:rsidR="005E2C4C" w:rsidRDefault="005E2C4C" w:rsidP="00CE62F5">
      <w:pPr>
        <w:spacing w:after="0" w:line="240" w:lineRule="auto"/>
      </w:pPr>
      <w:r>
        <w:continuationSeparator/>
      </w:r>
    </w:p>
  </w:footnote>
  <w:footnote w:id="1">
    <w:p w:rsidR="00387C6E" w:rsidRPr="00210613" w:rsidRDefault="00387C6E">
      <w:pPr>
        <w:pStyle w:val="Tekstprzypisudolnego"/>
        <w:rPr>
          <w:rFonts w:ascii="Garamond" w:hAnsi="Garamond"/>
        </w:rPr>
      </w:pPr>
      <w:r w:rsidRPr="00210613">
        <w:rPr>
          <w:rStyle w:val="Odwoanieprzypisudolnego"/>
          <w:rFonts w:ascii="Garamond" w:hAnsi="Garamond"/>
          <w:sz w:val="18"/>
        </w:rPr>
        <w:footnoteRef/>
      </w:r>
      <w:r w:rsidRPr="00210613">
        <w:rPr>
          <w:rFonts w:ascii="Garamond" w:hAnsi="Garamond"/>
          <w:sz w:val="18"/>
        </w:rPr>
        <w:t xml:space="preserve"> Dane dot. rolnictwa pochodzą z Powiatowych Ośrodków Doradztwa Rolniczego w Wejherowie i Pucku.</w:t>
      </w:r>
    </w:p>
  </w:footnote>
  <w:footnote w:id="2">
    <w:p w:rsidR="00387C6E" w:rsidRPr="0003087D" w:rsidRDefault="00387C6E" w:rsidP="00210613">
      <w:pPr>
        <w:pStyle w:val="Tekstprzypisudolnego"/>
        <w:jc w:val="both"/>
        <w:rPr>
          <w:rFonts w:ascii="Garamond" w:hAnsi="Garamond"/>
        </w:rPr>
      </w:pPr>
      <w:r w:rsidRPr="0003087D">
        <w:rPr>
          <w:rStyle w:val="Odwoanieprzypisudolnego"/>
          <w:rFonts w:ascii="Garamond" w:hAnsi="Garamond"/>
          <w:sz w:val="18"/>
        </w:rPr>
        <w:footnoteRef/>
      </w:r>
      <w:r w:rsidRPr="0003087D">
        <w:rPr>
          <w:rFonts w:ascii="Garamond" w:hAnsi="Garamond"/>
          <w:sz w:val="18"/>
        </w:rPr>
        <w:t xml:space="preserve"> Współczynnik </w:t>
      </w:r>
      <w:proofErr w:type="spellStart"/>
      <w:r w:rsidRPr="0003087D">
        <w:rPr>
          <w:rFonts w:ascii="Garamond" w:hAnsi="Garamond"/>
          <w:sz w:val="18"/>
        </w:rPr>
        <w:t>skolaryzacji</w:t>
      </w:r>
      <w:proofErr w:type="spellEnd"/>
      <w:r w:rsidRPr="0003087D">
        <w:rPr>
          <w:rFonts w:ascii="Garamond" w:hAnsi="Garamond"/>
          <w:sz w:val="18"/>
        </w:rPr>
        <w:t xml:space="preserve"> netto jest to relacja liczby osób uczących się (stan na początku roku szkolnego) na danym poziomie kształcenia (w danej grupie wieku) do liczby ludności (stan w dniu 31 XII) w grupie wieku określonej jako odpowiadająca temu poziom</w:t>
      </w:r>
      <w:r>
        <w:rPr>
          <w:rFonts w:ascii="Garamond" w:hAnsi="Garamond"/>
          <w:sz w:val="18"/>
        </w:rPr>
        <w:t>owi nauczania (</w:t>
      </w:r>
      <w:proofErr w:type="spellStart"/>
      <w:r>
        <w:rPr>
          <w:rFonts w:ascii="Garamond" w:hAnsi="Garamond"/>
          <w:sz w:val="18"/>
        </w:rPr>
        <w:t>GUS-BDL</w:t>
      </w:r>
      <w:proofErr w:type="spellEnd"/>
      <w:r>
        <w:rPr>
          <w:rFonts w:ascii="Garamond" w:hAnsi="Garamond"/>
          <w:sz w:val="18"/>
        </w:rPr>
        <w:t>)</w:t>
      </w:r>
    </w:p>
  </w:footnote>
  <w:footnote w:id="3">
    <w:p w:rsidR="00387C6E" w:rsidRPr="0038111D" w:rsidRDefault="00387C6E" w:rsidP="00472369">
      <w:pPr>
        <w:pStyle w:val="Tekstprzypisudolnego"/>
        <w:rPr>
          <w:rFonts w:ascii="Garamond" w:hAnsi="Garamond"/>
        </w:rPr>
      </w:pPr>
      <w:r w:rsidRPr="0038111D">
        <w:rPr>
          <w:rStyle w:val="Odwoanieprzypisudolnego"/>
          <w:rFonts w:ascii="Garamond" w:hAnsi="Garamond"/>
          <w:sz w:val="18"/>
        </w:rPr>
        <w:footnoteRef/>
      </w:r>
      <w:r w:rsidRPr="0038111D">
        <w:rPr>
          <w:rFonts w:ascii="Garamond" w:hAnsi="Garamond"/>
          <w:sz w:val="18"/>
        </w:rPr>
        <w:t xml:space="preserve"> Dane dot. </w:t>
      </w:r>
      <w:r>
        <w:rPr>
          <w:rFonts w:ascii="Garamond" w:hAnsi="Garamond"/>
          <w:sz w:val="18"/>
        </w:rPr>
        <w:t>e</w:t>
      </w:r>
      <w:r w:rsidRPr="0038111D">
        <w:rPr>
          <w:rFonts w:ascii="Garamond" w:hAnsi="Garamond"/>
          <w:sz w:val="18"/>
        </w:rPr>
        <w:t>konomii społecznej pochodzą z zasobów Regionalnego Ośrodka Pomocy Społecznej.</w:t>
      </w:r>
    </w:p>
  </w:footnote>
  <w:footnote w:id="4">
    <w:p w:rsidR="00387C6E" w:rsidRPr="00F8653E" w:rsidRDefault="00387C6E" w:rsidP="00C42379">
      <w:pPr>
        <w:pStyle w:val="Tekstprzypisudolnego"/>
        <w:jc w:val="both"/>
        <w:rPr>
          <w:rFonts w:ascii="Garamond" w:hAnsi="Garamond"/>
          <w:i/>
          <w:sz w:val="18"/>
          <w:szCs w:val="18"/>
        </w:rPr>
      </w:pPr>
      <w:r w:rsidRPr="00F8653E">
        <w:rPr>
          <w:rStyle w:val="Odwoanieprzypisudolnego"/>
          <w:rFonts w:ascii="Garamond" w:hAnsi="Garamond"/>
          <w:sz w:val="18"/>
          <w:szCs w:val="18"/>
        </w:rPr>
        <w:footnoteRef/>
      </w:r>
      <w:r w:rsidRPr="00F8653E">
        <w:rPr>
          <w:rFonts w:ascii="Garamond" w:hAnsi="Garamond"/>
          <w:sz w:val="18"/>
          <w:szCs w:val="18"/>
        </w:rPr>
        <w:t xml:space="preserve"> </w:t>
      </w:r>
      <w:proofErr w:type="spellStart"/>
      <w:r>
        <w:rPr>
          <w:rFonts w:ascii="Garamond" w:hAnsi="Garamond"/>
          <w:i/>
          <w:sz w:val="18"/>
          <w:szCs w:val="18"/>
        </w:rPr>
        <w:t>L</w:t>
      </w:r>
      <w:r w:rsidRPr="00F8653E">
        <w:rPr>
          <w:rFonts w:ascii="Garamond" w:hAnsi="Garamond"/>
          <w:i/>
          <w:sz w:val="18"/>
          <w:szCs w:val="18"/>
        </w:rPr>
        <w:t>ocation</w:t>
      </w:r>
      <w:proofErr w:type="spellEnd"/>
      <w:r w:rsidRPr="00F8653E">
        <w:rPr>
          <w:rFonts w:ascii="Garamond" w:hAnsi="Garamond"/>
          <w:i/>
          <w:sz w:val="18"/>
          <w:szCs w:val="18"/>
        </w:rPr>
        <w:t xml:space="preserve"> </w:t>
      </w:r>
      <w:proofErr w:type="spellStart"/>
      <w:r w:rsidRPr="00F8653E">
        <w:rPr>
          <w:rFonts w:ascii="Garamond" w:hAnsi="Garamond"/>
          <w:i/>
          <w:sz w:val="18"/>
          <w:szCs w:val="18"/>
        </w:rPr>
        <w:t>quotient</w:t>
      </w:r>
      <w:proofErr w:type="spellEnd"/>
      <w:r w:rsidRPr="00F8653E">
        <w:rPr>
          <w:rFonts w:ascii="Garamond" w:hAnsi="Garamond"/>
          <w:i/>
          <w:sz w:val="18"/>
          <w:szCs w:val="18"/>
        </w:rPr>
        <w:t xml:space="preserve">, </w:t>
      </w:r>
      <w:r w:rsidRPr="00F8653E">
        <w:rPr>
          <w:rFonts w:ascii="Garamond" w:hAnsi="Garamond"/>
          <w:sz w:val="18"/>
          <w:szCs w:val="18"/>
        </w:rPr>
        <w:t xml:space="preserve">zwany również wskaźnikiem </w:t>
      </w:r>
      <w:proofErr w:type="spellStart"/>
      <w:r w:rsidRPr="00F8653E">
        <w:rPr>
          <w:rFonts w:ascii="Garamond" w:hAnsi="Garamond"/>
          <w:sz w:val="18"/>
          <w:szCs w:val="18"/>
        </w:rPr>
        <w:t>Florence’a</w:t>
      </w:r>
      <w:proofErr w:type="spellEnd"/>
      <w:r w:rsidRPr="00F8653E">
        <w:rPr>
          <w:rFonts w:ascii="Garamond" w:hAnsi="Garamond"/>
          <w:i/>
          <w:sz w:val="18"/>
          <w:szCs w:val="18"/>
        </w:rPr>
        <w:t xml:space="preserve"> </w:t>
      </w:r>
      <w:r>
        <w:rPr>
          <w:rFonts w:ascii="Garamond" w:hAnsi="Garamond"/>
          <w:i/>
          <w:sz w:val="18"/>
          <w:szCs w:val="18"/>
        </w:rPr>
        <w:t>–</w:t>
      </w:r>
      <w:r w:rsidRPr="00F8653E">
        <w:rPr>
          <w:rFonts w:ascii="Garamond" w:hAnsi="Garamond"/>
          <w:i/>
          <w:sz w:val="18"/>
          <w:szCs w:val="18"/>
        </w:rPr>
        <w:t xml:space="preserve"> </w:t>
      </w:r>
      <w:r w:rsidRPr="00F8653E">
        <w:rPr>
          <w:rFonts w:ascii="Garamond" w:hAnsi="Garamond"/>
          <w:sz w:val="18"/>
          <w:szCs w:val="18"/>
        </w:rPr>
        <w:t>jest to miarą koncentracji działalności na wybranym obszarze w odniesieniu do obszaru referencyjnego np. województwa. Jeżeli wskaźnik przyjmuje wartość niższą od 1, oznacza to, że na danym obszarze istnieje względny niedobór w zakresie danej działalności. Wartości większe od 1 wskazują z kolei na specjalizację obszaru w danej działalności, gdyż jej udział w gospodarce lokalnej jest większy niż przeciętnie w obszarze referencyjnym. Przyjmuje się że działalności, które charakteryzuje iloraz powyżej 1 tworzą bazę eksportową</w:t>
      </w:r>
      <w:r>
        <w:rPr>
          <w:rFonts w:ascii="Garamond" w:hAnsi="Garamond"/>
          <w:sz w:val="18"/>
          <w:szCs w:val="18"/>
        </w:rPr>
        <w:t>.</w:t>
      </w:r>
      <w:r w:rsidRPr="00AA3928">
        <w:rPr>
          <w:rFonts w:ascii="Garamond" w:hAnsi="Garamond"/>
          <w:sz w:val="18"/>
          <w:szCs w:val="18"/>
        </w:rPr>
        <w:t xml:space="preserve"> </w:t>
      </w:r>
      <w:r w:rsidRPr="00F8653E">
        <w:rPr>
          <w:rFonts w:ascii="Garamond" w:hAnsi="Garamond"/>
          <w:sz w:val="18"/>
          <w:szCs w:val="18"/>
        </w:rPr>
        <w:t>Do przeliczeń użyto danych dotyczących podmiotów gospodarcz</w:t>
      </w:r>
      <w:r>
        <w:rPr>
          <w:rFonts w:ascii="Garamond" w:hAnsi="Garamond"/>
          <w:sz w:val="18"/>
          <w:szCs w:val="18"/>
        </w:rPr>
        <w:t>ych wpisanych do rejestru REGON</w:t>
      </w:r>
    </w:p>
  </w:footnote>
  <w:footnote w:id="5">
    <w:p w:rsidR="00387C6E" w:rsidRPr="00684A42" w:rsidRDefault="00387C6E" w:rsidP="00684A42">
      <w:pPr>
        <w:pStyle w:val="Tekstprzypisudolnego"/>
        <w:jc w:val="both"/>
        <w:rPr>
          <w:rFonts w:ascii="Garamond" w:hAnsi="Garamond"/>
        </w:rPr>
      </w:pPr>
      <w:r w:rsidRPr="00684A42">
        <w:rPr>
          <w:rStyle w:val="Odwoanieprzypisudolnego"/>
          <w:rFonts w:ascii="Garamond" w:hAnsi="Garamond"/>
          <w:sz w:val="18"/>
        </w:rPr>
        <w:footnoteRef/>
      </w:r>
      <w:r w:rsidRPr="00684A42">
        <w:rPr>
          <w:rFonts w:ascii="Garamond" w:hAnsi="Garamond"/>
          <w:sz w:val="18"/>
        </w:rPr>
        <w:t xml:space="preserve"> W 2007 r. na podstawie formularza RRW-20 zebrano dane z 57,1% przetwórni, a w 2013 r. z 83,3%. Niemniej, liczbowo wynosi to 16 do 15. Uznano, że na tej podstawie można wnioskować o trendach w</w:t>
      </w:r>
      <w:r>
        <w:rPr>
          <w:rFonts w:ascii="Garamond" w:hAnsi="Garamond"/>
          <w:sz w:val="18"/>
        </w:rPr>
        <w:t xml:space="preserve"> przetwórstwie na obszarze PLGR z zastrzeżeniem, że są to jedynie szacunki.</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30640D"/>
    <w:multiLevelType w:val="hybridMultilevel"/>
    <w:tmpl w:val="432A14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characterSpacingControl w:val="doNotCompress"/>
  <w:footnotePr>
    <w:footnote w:id="-1"/>
    <w:footnote w:id="0"/>
  </w:footnotePr>
  <w:endnotePr>
    <w:endnote w:id="-1"/>
    <w:endnote w:id="0"/>
  </w:endnotePr>
  <w:compat/>
  <w:rsids>
    <w:rsidRoot w:val="00CE62F5"/>
    <w:rsid w:val="000016AB"/>
    <w:rsid w:val="00014E3C"/>
    <w:rsid w:val="00014ED6"/>
    <w:rsid w:val="00015220"/>
    <w:rsid w:val="000173B3"/>
    <w:rsid w:val="00020668"/>
    <w:rsid w:val="0003087D"/>
    <w:rsid w:val="000350F7"/>
    <w:rsid w:val="000416BB"/>
    <w:rsid w:val="00047A8C"/>
    <w:rsid w:val="00067C8D"/>
    <w:rsid w:val="00076533"/>
    <w:rsid w:val="000765E8"/>
    <w:rsid w:val="00081A79"/>
    <w:rsid w:val="0009043A"/>
    <w:rsid w:val="00091684"/>
    <w:rsid w:val="000968A9"/>
    <w:rsid w:val="00097B63"/>
    <w:rsid w:val="000A09C7"/>
    <w:rsid w:val="000A30A4"/>
    <w:rsid w:val="000A78AF"/>
    <w:rsid w:val="000B38DB"/>
    <w:rsid w:val="000B3C09"/>
    <w:rsid w:val="000C2EE3"/>
    <w:rsid w:val="000C4514"/>
    <w:rsid w:val="000C51C1"/>
    <w:rsid w:val="000D071C"/>
    <w:rsid w:val="000D3723"/>
    <w:rsid w:val="000D4BD7"/>
    <w:rsid w:val="000E0DC2"/>
    <w:rsid w:val="000E34B6"/>
    <w:rsid w:val="000E4084"/>
    <w:rsid w:val="000F157E"/>
    <w:rsid w:val="000F200E"/>
    <w:rsid w:val="001008BD"/>
    <w:rsid w:val="00110874"/>
    <w:rsid w:val="00113174"/>
    <w:rsid w:val="0012159A"/>
    <w:rsid w:val="00122B42"/>
    <w:rsid w:val="00124ADA"/>
    <w:rsid w:val="001329F7"/>
    <w:rsid w:val="00137B9D"/>
    <w:rsid w:val="0014041D"/>
    <w:rsid w:val="00145E5A"/>
    <w:rsid w:val="001460A1"/>
    <w:rsid w:val="00154495"/>
    <w:rsid w:val="00161F3D"/>
    <w:rsid w:val="0017328C"/>
    <w:rsid w:val="0018099E"/>
    <w:rsid w:val="00182E61"/>
    <w:rsid w:val="0018386F"/>
    <w:rsid w:val="001907DA"/>
    <w:rsid w:val="001931AD"/>
    <w:rsid w:val="00193DCB"/>
    <w:rsid w:val="001A03B5"/>
    <w:rsid w:val="001A04AC"/>
    <w:rsid w:val="001A2BE4"/>
    <w:rsid w:val="001A3DE3"/>
    <w:rsid w:val="001B2DBD"/>
    <w:rsid w:val="001B56D3"/>
    <w:rsid w:val="001B5C6E"/>
    <w:rsid w:val="001B61EC"/>
    <w:rsid w:val="001C296C"/>
    <w:rsid w:val="001D2BF8"/>
    <w:rsid w:val="001D3474"/>
    <w:rsid w:val="001D3F90"/>
    <w:rsid w:val="001D4E91"/>
    <w:rsid w:val="001D627F"/>
    <w:rsid w:val="001D6659"/>
    <w:rsid w:val="001E2452"/>
    <w:rsid w:val="001E7358"/>
    <w:rsid w:val="001E79E5"/>
    <w:rsid w:val="001F5750"/>
    <w:rsid w:val="001F6BA9"/>
    <w:rsid w:val="001F7730"/>
    <w:rsid w:val="0020565A"/>
    <w:rsid w:val="002067DE"/>
    <w:rsid w:val="00206F88"/>
    <w:rsid w:val="00206FD0"/>
    <w:rsid w:val="00207B92"/>
    <w:rsid w:val="00210613"/>
    <w:rsid w:val="00211BDA"/>
    <w:rsid w:val="00217CCB"/>
    <w:rsid w:val="00220681"/>
    <w:rsid w:val="002252E3"/>
    <w:rsid w:val="00226802"/>
    <w:rsid w:val="00226C00"/>
    <w:rsid w:val="00227340"/>
    <w:rsid w:val="0023131C"/>
    <w:rsid w:val="0023145E"/>
    <w:rsid w:val="00233D2D"/>
    <w:rsid w:val="0023402D"/>
    <w:rsid w:val="002343BC"/>
    <w:rsid w:val="0024240E"/>
    <w:rsid w:val="00242CA9"/>
    <w:rsid w:val="00242DD8"/>
    <w:rsid w:val="00250339"/>
    <w:rsid w:val="00251D86"/>
    <w:rsid w:val="0025469D"/>
    <w:rsid w:val="00272A60"/>
    <w:rsid w:val="00272FCE"/>
    <w:rsid w:val="00276C00"/>
    <w:rsid w:val="002B628D"/>
    <w:rsid w:val="002C018E"/>
    <w:rsid w:val="002C12B8"/>
    <w:rsid w:val="002C2AC9"/>
    <w:rsid w:val="002C32B7"/>
    <w:rsid w:val="002C58F4"/>
    <w:rsid w:val="002C5C13"/>
    <w:rsid w:val="002D0C62"/>
    <w:rsid w:val="002D4AAD"/>
    <w:rsid w:val="002D6224"/>
    <w:rsid w:val="002F1832"/>
    <w:rsid w:val="002F26C7"/>
    <w:rsid w:val="002F2B6B"/>
    <w:rsid w:val="002F3C8B"/>
    <w:rsid w:val="002F6DB7"/>
    <w:rsid w:val="0030422C"/>
    <w:rsid w:val="00306D01"/>
    <w:rsid w:val="00312E82"/>
    <w:rsid w:val="00314051"/>
    <w:rsid w:val="0033123D"/>
    <w:rsid w:val="00334F83"/>
    <w:rsid w:val="00337FA8"/>
    <w:rsid w:val="00353367"/>
    <w:rsid w:val="00360C45"/>
    <w:rsid w:val="003662FB"/>
    <w:rsid w:val="0037054D"/>
    <w:rsid w:val="0037167B"/>
    <w:rsid w:val="0038111D"/>
    <w:rsid w:val="003850F3"/>
    <w:rsid w:val="00386850"/>
    <w:rsid w:val="00387C6E"/>
    <w:rsid w:val="00390647"/>
    <w:rsid w:val="003910CF"/>
    <w:rsid w:val="00391137"/>
    <w:rsid w:val="003946C3"/>
    <w:rsid w:val="00395C24"/>
    <w:rsid w:val="003A3ADE"/>
    <w:rsid w:val="003B0CBF"/>
    <w:rsid w:val="003B3F9A"/>
    <w:rsid w:val="003C1C4A"/>
    <w:rsid w:val="003C53AC"/>
    <w:rsid w:val="003D2135"/>
    <w:rsid w:val="003D4092"/>
    <w:rsid w:val="003E1D58"/>
    <w:rsid w:val="003E2F36"/>
    <w:rsid w:val="003F512A"/>
    <w:rsid w:val="003F662E"/>
    <w:rsid w:val="003F6FD0"/>
    <w:rsid w:val="003F7BE9"/>
    <w:rsid w:val="00407D5F"/>
    <w:rsid w:val="004125A4"/>
    <w:rsid w:val="004140C4"/>
    <w:rsid w:val="00422211"/>
    <w:rsid w:val="00424920"/>
    <w:rsid w:val="0043364B"/>
    <w:rsid w:val="00434E17"/>
    <w:rsid w:val="004360C0"/>
    <w:rsid w:val="00440046"/>
    <w:rsid w:val="004414B2"/>
    <w:rsid w:val="00443FFF"/>
    <w:rsid w:val="00445D12"/>
    <w:rsid w:val="00452188"/>
    <w:rsid w:val="00452DDA"/>
    <w:rsid w:val="00464F71"/>
    <w:rsid w:val="00467C96"/>
    <w:rsid w:val="00470090"/>
    <w:rsid w:val="00471609"/>
    <w:rsid w:val="00472369"/>
    <w:rsid w:val="00474D50"/>
    <w:rsid w:val="00475A12"/>
    <w:rsid w:val="0047700C"/>
    <w:rsid w:val="00477B34"/>
    <w:rsid w:val="00480CFC"/>
    <w:rsid w:val="004816B0"/>
    <w:rsid w:val="0048496B"/>
    <w:rsid w:val="00490F50"/>
    <w:rsid w:val="004A2720"/>
    <w:rsid w:val="004A5791"/>
    <w:rsid w:val="004B067F"/>
    <w:rsid w:val="004B4DF0"/>
    <w:rsid w:val="004B5336"/>
    <w:rsid w:val="004B7AF0"/>
    <w:rsid w:val="004C0692"/>
    <w:rsid w:val="004D5A54"/>
    <w:rsid w:val="004D614C"/>
    <w:rsid w:val="004D62D8"/>
    <w:rsid w:val="004D64EB"/>
    <w:rsid w:val="004D6A4F"/>
    <w:rsid w:val="004E10A4"/>
    <w:rsid w:val="004E5696"/>
    <w:rsid w:val="004F3A24"/>
    <w:rsid w:val="00502AF5"/>
    <w:rsid w:val="00511271"/>
    <w:rsid w:val="00512A40"/>
    <w:rsid w:val="0051329A"/>
    <w:rsid w:val="005150C1"/>
    <w:rsid w:val="00521F99"/>
    <w:rsid w:val="00537E9A"/>
    <w:rsid w:val="0054054D"/>
    <w:rsid w:val="00540804"/>
    <w:rsid w:val="005441B6"/>
    <w:rsid w:val="00552236"/>
    <w:rsid w:val="00555871"/>
    <w:rsid w:val="00555D58"/>
    <w:rsid w:val="00560DAA"/>
    <w:rsid w:val="005B4442"/>
    <w:rsid w:val="005C17BD"/>
    <w:rsid w:val="005C6492"/>
    <w:rsid w:val="005C7342"/>
    <w:rsid w:val="005D036C"/>
    <w:rsid w:val="005D0652"/>
    <w:rsid w:val="005D3617"/>
    <w:rsid w:val="005E0E6E"/>
    <w:rsid w:val="005E2C4C"/>
    <w:rsid w:val="005E7297"/>
    <w:rsid w:val="005E737F"/>
    <w:rsid w:val="005F518A"/>
    <w:rsid w:val="005F5258"/>
    <w:rsid w:val="00602CE3"/>
    <w:rsid w:val="006035FF"/>
    <w:rsid w:val="00604F65"/>
    <w:rsid w:val="0061691B"/>
    <w:rsid w:val="00626F53"/>
    <w:rsid w:val="00627634"/>
    <w:rsid w:val="006335E2"/>
    <w:rsid w:val="00633B54"/>
    <w:rsid w:val="00634721"/>
    <w:rsid w:val="006374DD"/>
    <w:rsid w:val="0064624C"/>
    <w:rsid w:val="00652738"/>
    <w:rsid w:val="00654286"/>
    <w:rsid w:val="00654E50"/>
    <w:rsid w:val="00657F92"/>
    <w:rsid w:val="00661C7F"/>
    <w:rsid w:val="0066305A"/>
    <w:rsid w:val="0066443F"/>
    <w:rsid w:val="00664EE9"/>
    <w:rsid w:val="00665F59"/>
    <w:rsid w:val="006664A4"/>
    <w:rsid w:val="00674C8D"/>
    <w:rsid w:val="00677D75"/>
    <w:rsid w:val="00681ABA"/>
    <w:rsid w:val="006825C9"/>
    <w:rsid w:val="00684A42"/>
    <w:rsid w:val="00684EE1"/>
    <w:rsid w:val="00697E6F"/>
    <w:rsid w:val="006B1C2A"/>
    <w:rsid w:val="006B2736"/>
    <w:rsid w:val="006B5060"/>
    <w:rsid w:val="006B54C5"/>
    <w:rsid w:val="006B66B3"/>
    <w:rsid w:val="006B6DC3"/>
    <w:rsid w:val="006C23D7"/>
    <w:rsid w:val="006C53DF"/>
    <w:rsid w:val="006D4046"/>
    <w:rsid w:val="006D5423"/>
    <w:rsid w:val="006E7F22"/>
    <w:rsid w:val="00700919"/>
    <w:rsid w:val="0070351D"/>
    <w:rsid w:val="00711A48"/>
    <w:rsid w:val="00722C72"/>
    <w:rsid w:val="007270EB"/>
    <w:rsid w:val="00731A53"/>
    <w:rsid w:val="00732107"/>
    <w:rsid w:val="007371C2"/>
    <w:rsid w:val="00737C47"/>
    <w:rsid w:val="007443A6"/>
    <w:rsid w:val="0074581C"/>
    <w:rsid w:val="00747874"/>
    <w:rsid w:val="007568C6"/>
    <w:rsid w:val="00763E52"/>
    <w:rsid w:val="00766D4E"/>
    <w:rsid w:val="00767C1C"/>
    <w:rsid w:val="00770403"/>
    <w:rsid w:val="00782B09"/>
    <w:rsid w:val="00786E19"/>
    <w:rsid w:val="00787111"/>
    <w:rsid w:val="00793D5B"/>
    <w:rsid w:val="00795189"/>
    <w:rsid w:val="0079547C"/>
    <w:rsid w:val="00795C25"/>
    <w:rsid w:val="007A2750"/>
    <w:rsid w:val="007A4139"/>
    <w:rsid w:val="007A60B0"/>
    <w:rsid w:val="007A697E"/>
    <w:rsid w:val="007A7494"/>
    <w:rsid w:val="007B0C7F"/>
    <w:rsid w:val="007B0E62"/>
    <w:rsid w:val="007B3343"/>
    <w:rsid w:val="007B4464"/>
    <w:rsid w:val="007B6DFD"/>
    <w:rsid w:val="007C672A"/>
    <w:rsid w:val="007C776C"/>
    <w:rsid w:val="007D0797"/>
    <w:rsid w:val="007D2020"/>
    <w:rsid w:val="007F566F"/>
    <w:rsid w:val="007F7F58"/>
    <w:rsid w:val="00800006"/>
    <w:rsid w:val="00800DCE"/>
    <w:rsid w:val="00800F87"/>
    <w:rsid w:val="00801938"/>
    <w:rsid w:val="00803F53"/>
    <w:rsid w:val="00805C19"/>
    <w:rsid w:val="008066D5"/>
    <w:rsid w:val="00807F85"/>
    <w:rsid w:val="00816903"/>
    <w:rsid w:val="00817C1E"/>
    <w:rsid w:val="00817C86"/>
    <w:rsid w:val="00822533"/>
    <w:rsid w:val="00822932"/>
    <w:rsid w:val="00830709"/>
    <w:rsid w:val="00831CF3"/>
    <w:rsid w:val="00837CAA"/>
    <w:rsid w:val="0084492F"/>
    <w:rsid w:val="00851DF5"/>
    <w:rsid w:val="008538BB"/>
    <w:rsid w:val="00854E6F"/>
    <w:rsid w:val="00855974"/>
    <w:rsid w:val="00856F22"/>
    <w:rsid w:val="00862547"/>
    <w:rsid w:val="008632A1"/>
    <w:rsid w:val="008703E2"/>
    <w:rsid w:val="00871DB0"/>
    <w:rsid w:val="008804A7"/>
    <w:rsid w:val="00884164"/>
    <w:rsid w:val="008A661A"/>
    <w:rsid w:val="008A66D0"/>
    <w:rsid w:val="008A6A2F"/>
    <w:rsid w:val="008B01EC"/>
    <w:rsid w:val="008B0429"/>
    <w:rsid w:val="008B1B12"/>
    <w:rsid w:val="008C0D63"/>
    <w:rsid w:val="008C147E"/>
    <w:rsid w:val="008C4B04"/>
    <w:rsid w:val="008C5F0B"/>
    <w:rsid w:val="008C6074"/>
    <w:rsid w:val="008D0D1A"/>
    <w:rsid w:val="008D11AF"/>
    <w:rsid w:val="008D13A7"/>
    <w:rsid w:val="008D1469"/>
    <w:rsid w:val="008D182D"/>
    <w:rsid w:val="008E3EEB"/>
    <w:rsid w:val="008E6B91"/>
    <w:rsid w:val="008F1B93"/>
    <w:rsid w:val="008F40B7"/>
    <w:rsid w:val="008F4F54"/>
    <w:rsid w:val="008F7488"/>
    <w:rsid w:val="0090250E"/>
    <w:rsid w:val="00902AC5"/>
    <w:rsid w:val="00902E6C"/>
    <w:rsid w:val="0092273A"/>
    <w:rsid w:val="00922C66"/>
    <w:rsid w:val="00922E57"/>
    <w:rsid w:val="00925CC3"/>
    <w:rsid w:val="00943C1C"/>
    <w:rsid w:val="00943F53"/>
    <w:rsid w:val="0094451C"/>
    <w:rsid w:val="00945457"/>
    <w:rsid w:val="00950417"/>
    <w:rsid w:val="0095273D"/>
    <w:rsid w:val="00957C67"/>
    <w:rsid w:val="00960B5D"/>
    <w:rsid w:val="00971232"/>
    <w:rsid w:val="00971641"/>
    <w:rsid w:val="00971BF6"/>
    <w:rsid w:val="00971FB7"/>
    <w:rsid w:val="0097224E"/>
    <w:rsid w:val="009729FA"/>
    <w:rsid w:val="00976004"/>
    <w:rsid w:val="00991D20"/>
    <w:rsid w:val="009930F2"/>
    <w:rsid w:val="009A7594"/>
    <w:rsid w:val="009B1D97"/>
    <w:rsid w:val="009B3CBB"/>
    <w:rsid w:val="009B51EE"/>
    <w:rsid w:val="009C1594"/>
    <w:rsid w:val="009C37CD"/>
    <w:rsid w:val="009C3AEC"/>
    <w:rsid w:val="009C52DF"/>
    <w:rsid w:val="009D0D65"/>
    <w:rsid w:val="009D439B"/>
    <w:rsid w:val="009E437A"/>
    <w:rsid w:val="009E7889"/>
    <w:rsid w:val="009F56D7"/>
    <w:rsid w:val="009F66F8"/>
    <w:rsid w:val="009F680F"/>
    <w:rsid w:val="00A009F9"/>
    <w:rsid w:val="00A02ED5"/>
    <w:rsid w:val="00A030F5"/>
    <w:rsid w:val="00A05879"/>
    <w:rsid w:val="00A06D39"/>
    <w:rsid w:val="00A10FBB"/>
    <w:rsid w:val="00A12CB9"/>
    <w:rsid w:val="00A15724"/>
    <w:rsid w:val="00A2665E"/>
    <w:rsid w:val="00A31960"/>
    <w:rsid w:val="00A32CD1"/>
    <w:rsid w:val="00A3472C"/>
    <w:rsid w:val="00A35FDC"/>
    <w:rsid w:val="00A36481"/>
    <w:rsid w:val="00A37273"/>
    <w:rsid w:val="00A46F68"/>
    <w:rsid w:val="00A548C6"/>
    <w:rsid w:val="00A602CF"/>
    <w:rsid w:val="00A6132D"/>
    <w:rsid w:val="00A70725"/>
    <w:rsid w:val="00A70931"/>
    <w:rsid w:val="00A766C4"/>
    <w:rsid w:val="00A80CE2"/>
    <w:rsid w:val="00A83584"/>
    <w:rsid w:val="00A84B2C"/>
    <w:rsid w:val="00A9326E"/>
    <w:rsid w:val="00A949D5"/>
    <w:rsid w:val="00AA3928"/>
    <w:rsid w:val="00AA4703"/>
    <w:rsid w:val="00AA5213"/>
    <w:rsid w:val="00AA6B94"/>
    <w:rsid w:val="00AA758F"/>
    <w:rsid w:val="00AB4629"/>
    <w:rsid w:val="00AC1185"/>
    <w:rsid w:val="00AC356D"/>
    <w:rsid w:val="00AD4CAC"/>
    <w:rsid w:val="00AE4692"/>
    <w:rsid w:val="00AE4C9F"/>
    <w:rsid w:val="00B01F35"/>
    <w:rsid w:val="00B021A8"/>
    <w:rsid w:val="00B03740"/>
    <w:rsid w:val="00B13B18"/>
    <w:rsid w:val="00B16642"/>
    <w:rsid w:val="00B20A60"/>
    <w:rsid w:val="00B23797"/>
    <w:rsid w:val="00B257A7"/>
    <w:rsid w:val="00B26F6D"/>
    <w:rsid w:val="00B32DC6"/>
    <w:rsid w:val="00B363C2"/>
    <w:rsid w:val="00B36873"/>
    <w:rsid w:val="00B37B76"/>
    <w:rsid w:val="00B40A59"/>
    <w:rsid w:val="00B4523F"/>
    <w:rsid w:val="00B46BE3"/>
    <w:rsid w:val="00B51408"/>
    <w:rsid w:val="00B535DA"/>
    <w:rsid w:val="00B5755F"/>
    <w:rsid w:val="00B64150"/>
    <w:rsid w:val="00B643A2"/>
    <w:rsid w:val="00B750E5"/>
    <w:rsid w:val="00B802FA"/>
    <w:rsid w:val="00B90EAC"/>
    <w:rsid w:val="00B94188"/>
    <w:rsid w:val="00BA1397"/>
    <w:rsid w:val="00BA190A"/>
    <w:rsid w:val="00BB0278"/>
    <w:rsid w:val="00BB2852"/>
    <w:rsid w:val="00BB41FA"/>
    <w:rsid w:val="00BB512A"/>
    <w:rsid w:val="00BB6F4C"/>
    <w:rsid w:val="00BC1C86"/>
    <w:rsid w:val="00BD43EC"/>
    <w:rsid w:val="00BD4498"/>
    <w:rsid w:val="00BD58A4"/>
    <w:rsid w:val="00BD6A53"/>
    <w:rsid w:val="00BE4282"/>
    <w:rsid w:val="00BF5FA3"/>
    <w:rsid w:val="00BF700A"/>
    <w:rsid w:val="00C008C3"/>
    <w:rsid w:val="00C0123E"/>
    <w:rsid w:val="00C01DF5"/>
    <w:rsid w:val="00C021AF"/>
    <w:rsid w:val="00C057F1"/>
    <w:rsid w:val="00C10337"/>
    <w:rsid w:val="00C13F11"/>
    <w:rsid w:val="00C14692"/>
    <w:rsid w:val="00C22001"/>
    <w:rsid w:val="00C24BC1"/>
    <w:rsid w:val="00C24E03"/>
    <w:rsid w:val="00C2707B"/>
    <w:rsid w:val="00C35D96"/>
    <w:rsid w:val="00C42379"/>
    <w:rsid w:val="00C447D3"/>
    <w:rsid w:val="00C50437"/>
    <w:rsid w:val="00C51190"/>
    <w:rsid w:val="00C534DF"/>
    <w:rsid w:val="00C66BB2"/>
    <w:rsid w:val="00C70C0C"/>
    <w:rsid w:val="00C84AD1"/>
    <w:rsid w:val="00C932F3"/>
    <w:rsid w:val="00C93FCE"/>
    <w:rsid w:val="00C95B72"/>
    <w:rsid w:val="00C96B55"/>
    <w:rsid w:val="00C97FB1"/>
    <w:rsid w:val="00CA0B7B"/>
    <w:rsid w:val="00CB26E5"/>
    <w:rsid w:val="00CB3322"/>
    <w:rsid w:val="00CB3951"/>
    <w:rsid w:val="00CB52EE"/>
    <w:rsid w:val="00CB5446"/>
    <w:rsid w:val="00CC05CF"/>
    <w:rsid w:val="00CC1710"/>
    <w:rsid w:val="00CC24CE"/>
    <w:rsid w:val="00CC47EC"/>
    <w:rsid w:val="00CC7797"/>
    <w:rsid w:val="00CD3BA9"/>
    <w:rsid w:val="00CD4DBF"/>
    <w:rsid w:val="00CD6B66"/>
    <w:rsid w:val="00CE0197"/>
    <w:rsid w:val="00CE0928"/>
    <w:rsid w:val="00CE1CC5"/>
    <w:rsid w:val="00CE62F5"/>
    <w:rsid w:val="00CF078A"/>
    <w:rsid w:val="00CF540D"/>
    <w:rsid w:val="00D02211"/>
    <w:rsid w:val="00D112AE"/>
    <w:rsid w:val="00D11AB5"/>
    <w:rsid w:val="00D16EA4"/>
    <w:rsid w:val="00D17E65"/>
    <w:rsid w:val="00D22FC3"/>
    <w:rsid w:val="00D26FF2"/>
    <w:rsid w:val="00D27B2E"/>
    <w:rsid w:val="00D354FF"/>
    <w:rsid w:val="00D441ED"/>
    <w:rsid w:val="00D44DE3"/>
    <w:rsid w:val="00D4791B"/>
    <w:rsid w:val="00D47B03"/>
    <w:rsid w:val="00D504DB"/>
    <w:rsid w:val="00D560F6"/>
    <w:rsid w:val="00D60C71"/>
    <w:rsid w:val="00D644C2"/>
    <w:rsid w:val="00D64D20"/>
    <w:rsid w:val="00D666F3"/>
    <w:rsid w:val="00D67D0B"/>
    <w:rsid w:val="00D74E2B"/>
    <w:rsid w:val="00D76FCC"/>
    <w:rsid w:val="00D8179B"/>
    <w:rsid w:val="00DA4059"/>
    <w:rsid w:val="00DA47E4"/>
    <w:rsid w:val="00DB02A5"/>
    <w:rsid w:val="00DB66A8"/>
    <w:rsid w:val="00DB7E2E"/>
    <w:rsid w:val="00DC3BA6"/>
    <w:rsid w:val="00DC4658"/>
    <w:rsid w:val="00DC51E8"/>
    <w:rsid w:val="00DE0AB4"/>
    <w:rsid w:val="00DE3154"/>
    <w:rsid w:val="00DE551A"/>
    <w:rsid w:val="00DE6E6E"/>
    <w:rsid w:val="00DF6D36"/>
    <w:rsid w:val="00DF6DFF"/>
    <w:rsid w:val="00E07C89"/>
    <w:rsid w:val="00E1009B"/>
    <w:rsid w:val="00E11B23"/>
    <w:rsid w:val="00E162F4"/>
    <w:rsid w:val="00E37904"/>
    <w:rsid w:val="00E43A3D"/>
    <w:rsid w:val="00E440A0"/>
    <w:rsid w:val="00E46309"/>
    <w:rsid w:val="00E52FAB"/>
    <w:rsid w:val="00E611DE"/>
    <w:rsid w:val="00E65E98"/>
    <w:rsid w:val="00E70A82"/>
    <w:rsid w:val="00E745D1"/>
    <w:rsid w:val="00E8526B"/>
    <w:rsid w:val="00E967DE"/>
    <w:rsid w:val="00EA37EE"/>
    <w:rsid w:val="00EA686C"/>
    <w:rsid w:val="00EB329E"/>
    <w:rsid w:val="00EC0541"/>
    <w:rsid w:val="00EC1B26"/>
    <w:rsid w:val="00EC1B52"/>
    <w:rsid w:val="00EC3B85"/>
    <w:rsid w:val="00ED16A8"/>
    <w:rsid w:val="00EE0836"/>
    <w:rsid w:val="00EE0C5E"/>
    <w:rsid w:val="00EF0461"/>
    <w:rsid w:val="00EF0B32"/>
    <w:rsid w:val="00EF59D8"/>
    <w:rsid w:val="00EF76B9"/>
    <w:rsid w:val="00F017BE"/>
    <w:rsid w:val="00F03063"/>
    <w:rsid w:val="00F031E4"/>
    <w:rsid w:val="00F14AAA"/>
    <w:rsid w:val="00F15D10"/>
    <w:rsid w:val="00F179D2"/>
    <w:rsid w:val="00F21181"/>
    <w:rsid w:val="00F21267"/>
    <w:rsid w:val="00F2346D"/>
    <w:rsid w:val="00F23E3F"/>
    <w:rsid w:val="00F34CB8"/>
    <w:rsid w:val="00F35C0F"/>
    <w:rsid w:val="00F36F2D"/>
    <w:rsid w:val="00F42530"/>
    <w:rsid w:val="00F443B0"/>
    <w:rsid w:val="00F4522B"/>
    <w:rsid w:val="00F466CF"/>
    <w:rsid w:val="00F547CA"/>
    <w:rsid w:val="00F5537D"/>
    <w:rsid w:val="00F608B9"/>
    <w:rsid w:val="00F64B8A"/>
    <w:rsid w:val="00F66104"/>
    <w:rsid w:val="00F71EE3"/>
    <w:rsid w:val="00F73997"/>
    <w:rsid w:val="00F74EDC"/>
    <w:rsid w:val="00F83406"/>
    <w:rsid w:val="00F8653E"/>
    <w:rsid w:val="00FA01ED"/>
    <w:rsid w:val="00FA3305"/>
    <w:rsid w:val="00FB0C6D"/>
    <w:rsid w:val="00FB3332"/>
    <w:rsid w:val="00FB6F78"/>
    <w:rsid w:val="00FC3274"/>
    <w:rsid w:val="00FC4196"/>
    <w:rsid w:val="00FC587F"/>
    <w:rsid w:val="00FC6321"/>
    <w:rsid w:val="00FD0D18"/>
    <w:rsid w:val="00FD1DAE"/>
    <w:rsid w:val="00FD3113"/>
    <w:rsid w:val="00FD6DCE"/>
    <w:rsid w:val="00FE13D8"/>
    <w:rsid w:val="00FE368C"/>
    <w:rsid w:val="00FE60AE"/>
    <w:rsid w:val="00FE6D85"/>
    <w:rsid w:val="00FF120F"/>
    <w:rsid w:val="00FF515F"/>
    <w:rsid w:val="00FF74E9"/>
    <w:rsid w:val="00FF7FCD"/>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Calibri" w:hAnsi="Garamond" w:cs="Times New Roman"/>
        <w:sz w:val="24"/>
        <w:szCs w:val="24"/>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93FCE"/>
    <w:rPr>
      <w:rFonts w:ascii="Calibri" w:hAnsi="Calibri"/>
      <w:sz w:val="20"/>
      <w:szCs w:val="20"/>
      <w:lang w:eastAsia="pl-PL"/>
    </w:rPr>
  </w:style>
  <w:style w:type="paragraph" w:styleId="Nagwek3">
    <w:name w:val="heading 3"/>
    <w:basedOn w:val="Normalny"/>
    <w:next w:val="Normalny"/>
    <w:link w:val="Nagwek3Znak"/>
    <w:uiPriority w:val="9"/>
    <w:unhideWhenUsed/>
    <w:qFormat/>
    <w:rsid w:val="00CC779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kocowego">
    <w:name w:val="endnote text"/>
    <w:basedOn w:val="Normalny"/>
    <w:link w:val="TekstprzypisukocowegoZnak"/>
    <w:uiPriority w:val="99"/>
    <w:semiHidden/>
    <w:unhideWhenUsed/>
    <w:rsid w:val="00CE62F5"/>
    <w:pPr>
      <w:spacing w:after="0" w:line="240" w:lineRule="auto"/>
    </w:pPr>
  </w:style>
  <w:style w:type="character" w:customStyle="1" w:styleId="TekstprzypisukocowegoZnak">
    <w:name w:val="Tekst przypisu końcowego Znak"/>
    <w:basedOn w:val="Domylnaczcionkaakapitu"/>
    <w:link w:val="Tekstprzypisukocowego"/>
    <w:uiPriority w:val="99"/>
    <w:semiHidden/>
    <w:rsid w:val="00CE62F5"/>
    <w:rPr>
      <w:rFonts w:ascii="Calibri" w:hAnsi="Calibri"/>
      <w:sz w:val="20"/>
      <w:szCs w:val="20"/>
      <w:lang w:eastAsia="pl-PL"/>
    </w:rPr>
  </w:style>
  <w:style w:type="character" w:styleId="Odwoanieprzypisukocowego">
    <w:name w:val="endnote reference"/>
    <w:basedOn w:val="Domylnaczcionkaakapitu"/>
    <w:uiPriority w:val="99"/>
    <w:semiHidden/>
    <w:unhideWhenUsed/>
    <w:rsid w:val="00CE62F5"/>
    <w:rPr>
      <w:vertAlign w:val="superscript"/>
    </w:rPr>
  </w:style>
  <w:style w:type="table" w:styleId="Tabela-Siatka">
    <w:name w:val="Table Grid"/>
    <w:basedOn w:val="Standardowy"/>
    <w:uiPriority w:val="59"/>
    <w:rsid w:val="002C01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agwek">
    <w:name w:val="header"/>
    <w:basedOn w:val="Normalny"/>
    <w:link w:val="NagwekZnak"/>
    <w:uiPriority w:val="99"/>
    <w:unhideWhenUsed/>
    <w:rsid w:val="00F15D1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15D10"/>
    <w:rPr>
      <w:rFonts w:ascii="Calibri" w:hAnsi="Calibri"/>
      <w:sz w:val="20"/>
      <w:szCs w:val="20"/>
      <w:lang w:eastAsia="pl-PL"/>
    </w:rPr>
  </w:style>
  <w:style w:type="paragraph" w:styleId="Stopka">
    <w:name w:val="footer"/>
    <w:basedOn w:val="Normalny"/>
    <w:link w:val="StopkaZnak"/>
    <w:uiPriority w:val="99"/>
    <w:unhideWhenUsed/>
    <w:rsid w:val="00F15D1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15D10"/>
    <w:rPr>
      <w:rFonts w:ascii="Calibri" w:hAnsi="Calibri"/>
      <w:sz w:val="20"/>
      <w:szCs w:val="20"/>
      <w:lang w:eastAsia="pl-PL"/>
    </w:rPr>
  </w:style>
  <w:style w:type="paragraph" w:styleId="Tekstprzypisudolnego">
    <w:name w:val="footnote text"/>
    <w:basedOn w:val="Normalny"/>
    <w:link w:val="TekstprzypisudolnegoZnak"/>
    <w:uiPriority w:val="99"/>
    <w:unhideWhenUsed/>
    <w:rsid w:val="0003087D"/>
    <w:pPr>
      <w:spacing w:after="0" w:line="240" w:lineRule="auto"/>
    </w:pPr>
  </w:style>
  <w:style w:type="character" w:customStyle="1" w:styleId="TekstprzypisudolnegoZnak">
    <w:name w:val="Tekst przypisu dolnego Znak"/>
    <w:basedOn w:val="Domylnaczcionkaakapitu"/>
    <w:link w:val="Tekstprzypisudolnego"/>
    <w:uiPriority w:val="99"/>
    <w:rsid w:val="0003087D"/>
    <w:rPr>
      <w:rFonts w:ascii="Calibri" w:hAnsi="Calibri"/>
      <w:sz w:val="20"/>
      <w:szCs w:val="20"/>
      <w:lang w:eastAsia="pl-PL"/>
    </w:rPr>
  </w:style>
  <w:style w:type="character" w:styleId="Odwoanieprzypisudolnego">
    <w:name w:val="footnote reference"/>
    <w:basedOn w:val="Domylnaczcionkaakapitu"/>
    <w:uiPriority w:val="99"/>
    <w:semiHidden/>
    <w:unhideWhenUsed/>
    <w:rsid w:val="0003087D"/>
    <w:rPr>
      <w:vertAlign w:val="superscript"/>
    </w:rPr>
  </w:style>
  <w:style w:type="paragraph" w:styleId="Tekstdymka">
    <w:name w:val="Balloon Text"/>
    <w:basedOn w:val="Normalny"/>
    <w:link w:val="TekstdymkaZnak"/>
    <w:uiPriority w:val="99"/>
    <w:semiHidden/>
    <w:unhideWhenUsed/>
    <w:rsid w:val="0086254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62547"/>
    <w:rPr>
      <w:rFonts w:ascii="Tahoma" w:hAnsi="Tahoma" w:cs="Tahoma"/>
      <w:sz w:val="16"/>
      <w:szCs w:val="16"/>
      <w:lang w:eastAsia="pl-PL"/>
    </w:rPr>
  </w:style>
  <w:style w:type="character" w:styleId="Hipercze">
    <w:name w:val="Hyperlink"/>
    <w:basedOn w:val="Domylnaczcionkaakapitu"/>
    <w:uiPriority w:val="99"/>
    <w:unhideWhenUsed/>
    <w:rsid w:val="00805C19"/>
    <w:rPr>
      <w:color w:val="0000FF" w:themeColor="hyperlink"/>
      <w:u w:val="single"/>
    </w:rPr>
  </w:style>
  <w:style w:type="character" w:customStyle="1" w:styleId="Nagwek3Znak">
    <w:name w:val="Nagłówek 3 Znak"/>
    <w:basedOn w:val="Domylnaczcionkaakapitu"/>
    <w:link w:val="Nagwek3"/>
    <w:uiPriority w:val="9"/>
    <w:rsid w:val="00CC7797"/>
    <w:rPr>
      <w:rFonts w:asciiTheme="majorHAnsi" w:eastAsiaTheme="majorEastAsia" w:hAnsiTheme="majorHAnsi" w:cstheme="majorBidi"/>
      <w:b/>
      <w:bCs/>
      <w:color w:val="4F81BD" w:themeColor="accent1"/>
      <w:sz w:val="20"/>
      <w:szCs w:val="20"/>
      <w:lang w:eastAsia="pl-PL"/>
    </w:rPr>
  </w:style>
  <w:style w:type="paragraph" w:styleId="Akapitzlist">
    <w:name w:val="List Paragraph"/>
    <w:basedOn w:val="Normalny"/>
    <w:uiPriority w:val="34"/>
    <w:qFormat/>
    <w:rsid w:val="00EF76B9"/>
    <w:pPr>
      <w:ind w:left="720"/>
      <w:contextualSpacing/>
    </w:pPr>
  </w:style>
  <w:style w:type="paragraph" w:customStyle="1" w:styleId="Default">
    <w:name w:val="Default"/>
    <w:rsid w:val="00D4791B"/>
    <w:pPr>
      <w:autoSpaceDE w:val="0"/>
      <w:autoSpaceDN w:val="0"/>
      <w:adjustRightInd w:val="0"/>
      <w:spacing w:after="0" w:line="240" w:lineRule="auto"/>
    </w:pPr>
    <w:rPr>
      <w:rFonts w:cs="Garamond"/>
      <w:color w:val="000000"/>
    </w:rPr>
  </w:style>
  <w:style w:type="character" w:styleId="Odwoaniedokomentarza">
    <w:name w:val="annotation reference"/>
    <w:basedOn w:val="Domylnaczcionkaakapitu"/>
    <w:uiPriority w:val="99"/>
    <w:semiHidden/>
    <w:unhideWhenUsed/>
    <w:rsid w:val="00472369"/>
    <w:rPr>
      <w:sz w:val="16"/>
      <w:szCs w:val="16"/>
    </w:rPr>
  </w:style>
  <w:style w:type="paragraph" w:styleId="Tekstkomentarza">
    <w:name w:val="annotation text"/>
    <w:basedOn w:val="Normalny"/>
    <w:link w:val="TekstkomentarzaZnak"/>
    <w:uiPriority w:val="99"/>
    <w:semiHidden/>
    <w:unhideWhenUsed/>
    <w:rsid w:val="00472369"/>
    <w:pPr>
      <w:spacing w:line="240" w:lineRule="auto"/>
    </w:pPr>
  </w:style>
  <w:style w:type="character" w:customStyle="1" w:styleId="TekstkomentarzaZnak">
    <w:name w:val="Tekst komentarza Znak"/>
    <w:basedOn w:val="Domylnaczcionkaakapitu"/>
    <w:link w:val="Tekstkomentarza"/>
    <w:uiPriority w:val="99"/>
    <w:semiHidden/>
    <w:rsid w:val="00472369"/>
    <w:rPr>
      <w:rFonts w:ascii="Calibri" w:hAnsi="Calibri"/>
      <w:sz w:val="20"/>
      <w:szCs w:val="20"/>
      <w:lang w:eastAsia="pl-PL"/>
    </w:rPr>
  </w:style>
  <w:style w:type="paragraph" w:styleId="Tematkomentarza">
    <w:name w:val="annotation subject"/>
    <w:basedOn w:val="Tekstkomentarza"/>
    <w:next w:val="Tekstkomentarza"/>
    <w:link w:val="TematkomentarzaZnak"/>
    <w:uiPriority w:val="99"/>
    <w:semiHidden/>
    <w:unhideWhenUsed/>
    <w:rsid w:val="0094451C"/>
    <w:rPr>
      <w:b/>
      <w:bCs/>
    </w:rPr>
  </w:style>
  <w:style w:type="character" w:customStyle="1" w:styleId="TematkomentarzaZnak">
    <w:name w:val="Temat komentarza Znak"/>
    <w:basedOn w:val="TekstkomentarzaZnak"/>
    <w:link w:val="Tematkomentarza"/>
    <w:uiPriority w:val="99"/>
    <w:semiHidden/>
    <w:rsid w:val="0094451C"/>
    <w:rPr>
      <w:rFonts w:ascii="Calibri" w:hAnsi="Calibri"/>
      <w:b/>
      <w:bCs/>
      <w:sz w:val="20"/>
      <w:szCs w:val="20"/>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aramond" w:eastAsia="Calibri" w:hAnsi="Garamond" w:cs="Times New Roman"/>
        <w:sz w:val="24"/>
        <w:szCs w:val="24"/>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rFonts w:ascii="Calibri" w:hAnsi="Calibri"/>
      <w:sz w:val="20"/>
      <w:szCs w:val="20"/>
      <w:lang w:eastAsia="pl-PL"/>
    </w:rPr>
  </w:style>
  <w:style w:type="paragraph" w:styleId="Nagwek3">
    <w:name w:val="heading 3"/>
    <w:basedOn w:val="Normalny"/>
    <w:next w:val="Normalny"/>
    <w:link w:val="Nagwek3Znak"/>
    <w:uiPriority w:val="9"/>
    <w:unhideWhenUsed/>
    <w:qFormat/>
    <w:rsid w:val="00CC779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kocowego">
    <w:name w:val="endnote text"/>
    <w:basedOn w:val="Normalny"/>
    <w:link w:val="TekstprzypisukocowegoZnak"/>
    <w:uiPriority w:val="99"/>
    <w:semiHidden/>
    <w:unhideWhenUsed/>
    <w:rsid w:val="00CE62F5"/>
    <w:pPr>
      <w:spacing w:after="0" w:line="240" w:lineRule="auto"/>
    </w:pPr>
  </w:style>
  <w:style w:type="character" w:customStyle="1" w:styleId="TekstprzypisukocowegoZnak">
    <w:name w:val="Tekst przypisu końcowego Znak"/>
    <w:basedOn w:val="Domylnaczcionkaakapitu"/>
    <w:link w:val="Tekstprzypisukocowego"/>
    <w:uiPriority w:val="99"/>
    <w:semiHidden/>
    <w:rsid w:val="00CE62F5"/>
    <w:rPr>
      <w:rFonts w:ascii="Calibri" w:hAnsi="Calibri"/>
      <w:sz w:val="20"/>
      <w:szCs w:val="20"/>
      <w:lang w:eastAsia="pl-PL"/>
    </w:rPr>
  </w:style>
  <w:style w:type="character" w:styleId="Odwoanieprzypisukocowego">
    <w:name w:val="endnote reference"/>
    <w:basedOn w:val="Domylnaczcionkaakapitu"/>
    <w:uiPriority w:val="99"/>
    <w:semiHidden/>
    <w:unhideWhenUsed/>
    <w:rsid w:val="00CE62F5"/>
    <w:rPr>
      <w:vertAlign w:val="superscript"/>
    </w:rPr>
  </w:style>
  <w:style w:type="table" w:styleId="Tabela-Siatka">
    <w:name w:val="Table Grid"/>
    <w:basedOn w:val="Standardowy"/>
    <w:uiPriority w:val="59"/>
    <w:rsid w:val="002C01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F15D1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15D10"/>
    <w:rPr>
      <w:rFonts w:ascii="Calibri" w:hAnsi="Calibri"/>
      <w:sz w:val="20"/>
      <w:szCs w:val="20"/>
      <w:lang w:eastAsia="pl-PL"/>
    </w:rPr>
  </w:style>
  <w:style w:type="paragraph" w:styleId="Stopka">
    <w:name w:val="footer"/>
    <w:basedOn w:val="Normalny"/>
    <w:link w:val="StopkaZnak"/>
    <w:uiPriority w:val="99"/>
    <w:unhideWhenUsed/>
    <w:rsid w:val="00F15D1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15D10"/>
    <w:rPr>
      <w:rFonts w:ascii="Calibri" w:hAnsi="Calibri"/>
      <w:sz w:val="20"/>
      <w:szCs w:val="20"/>
      <w:lang w:eastAsia="pl-PL"/>
    </w:rPr>
  </w:style>
  <w:style w:type="paragraph" w:styleId="Tekstprzypisudolnego">
    <w:name w:val="footnote text"/>
    <w:basedOn w:val="Normalny"/>
    <w:link w:val="TekstprzypisudolnegoZnak"/>
    <w:uiPriority w:val="99"/>
    <w:unhideWhenUsed/>
    <w:rsid w:val="0003087D"/>
    <w:pPr>
      <w:spacing w:after="0" w:line="240" w:lineRule="auto"/>
    </w:pPr>
  </w:style>
  <w:style w:type="character" w:customStyle="1" w:styleId="TekstprzypisudolnegoZnak">
    <w:name w:val="Tekst przypisu dolnego Znak"/>
    <w:basedOn w:val="Domylnaczcionkaakapitu"/>
    <w:link w:val="Tekstprzypisudolnego"/>
    <w:uiPriority w:val="99"/>
    <w:rsid w:val="0003087D"/>
    <w:rPr>
      <w:rFonts w:ascii="Calibri" w:hAnsi="Calibri"/>
      <w:sz w:val="20"/>
      <w:szCs w:val="20"/>
      <w:lang w:eastAsia="pl-PL"/>
    </w:rPr>
  </w:style>
  <w:style w:type="character" w:styleId="Odwoanieprzypisudolnego">
    <w:name w:val="footnote reference"/>
    <w:basedOn w:val="Domylnaczcionkaakapitu"/>
    <w:uiPriority w:val="99"/>
    <w:semiHidden/>
    <w:unhideWhenUsed/>
    <w:rsid w:val="0003087D"/>
    <w:rPr>
      <w:vertAlign w:val="superscript"/>
    </w:rPr>
  </w:style>
  <w:style w:type="paragraph" w:styleId="Tekstdymka">
    <w:name w:val="Balloon Text"/>
    <w:basedOn w:val="Normalny"/>
    <w:link w:val="TekstdymkaZnak"/>
    <w:uiPriority w:val="99"/>
    <w:semiHidden/>
    <w:unhideWhenUsed/>
    <w:rsid w:val="0086254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62547"/>
    <w:rPr>
      <w:rFonts w:ascii="Tahoma" w:hAnsi="Tahoma" w:cs="Tahoma"/>
      <w:sz w:val="16"/>
      <w:szCs w:val="16"/>
      <w:lang w:eastAsia="pl-PL"/>
    </w:rPr>
  </w:style>
  <w:style w:type="character" w:styleId="Hipercze">
    <w:name w:val="Hyperlink"/>
    <w:basedOn w:val="Domylnaczcionkaakapitu"/>
    <w:uiPriority w:val="99"/>
    <w:unhideWhenUsed/>
    <w:rsid w:val="00805C19"/>
    <w:rPr>
      <w:color w:val="0000FF" w:themeColor="hyperlink"/>
      <w:u w:val="single"/>
    </w:rPr>
  </w:style>
  <w:style w:type="character" w:customStyle="1" w:styleId="Nagwek3Znak">
    <w:name w:val="Nagłówek 3 Znak"/>
    <w:basedOn w:val="Domylnaczcionkaakapitu"/>
    <w:link w:val="Nagwek3"/>
    <w:uiPriority w:val="9"/>
    <w:rsid w:val="00CC7797"/>
    <w:rPr>
      <w:rFonts w:asciiTheme="majorHAnsi" w:eastAsiaTheme="majorEastAsia" w:hAnsiTheme="majorHAnsi" w:cstheme="majorBidi"/>
      <w:b/>
      <w:bCs/>
      <w:color w:val="4F81BD" w:themeColor="accent1"/>
      <w:sz w:val="20"/>
      <w:szCs w:val="20"/>
      <w:lang w:eastAsia="pl-PL"/>
    </w:rPr>
  </w:style>
  <w:style w:type="paragraph" w:styleId="Akapitzlist">
    <w:name w:val="List Paragraph"/>
    <w:basedOn w:val="Normalny"/>
    <w:uiPriority w:val="34"/>
    <w:qFormat/>
    <w:rsid w:val="00EF76B9"/>
    <w:pPr>
      <w:ind w:left="720"/>
      <w:contextualSpacing/>
    </w:pPr>
  </w:style>
  <w:style w:type="paragraph" w:customStyle="1" w:styleId="Default">
    <w:name w:val="Default"/>
    <w:rsid w:val="00D4791B"/>
    <w:pPr>
      <w:autoSpaceDE w:val="0"/>
      <w:autoSpaceDN w:val="0"/>
      <w:adjustRightInd w:val="0"/>
      <w:spacing w:after="0" w:line="240" w:lineRule="auto"/>
    </w:pPr>
    <w:rPr>
      <w:rFonts w:cs="Garamond"/>
      <w:color w:val="000000"/>
    </w:rPr>
  </w:style>
  <w:style w:type="character" w:styleId="Odwoaniedokomentarza">
    <w:name w:val="annotation reference"/>
    <w:basedOn w:val="Domylnaczcionkaakapitu"/>
    <w:uiPriority w:val="99"/>
    <w:semiHidden/>
    <w:unhideWhenUsed/>
    <w:rsid w:val="00472369"/>
    <w:rPr>
      <w:sz w:val="16"/>
      <w:szCs w:val="16"/>
    </w:rPr>
  </w:style>
  <w:style w:type="paragraph" w:styleId="Tekstkomentarza">
    <w:name w:val="annotation text"/>
    <w:basedOn w:val="Normalny"/>
    <w:link w:val="TekstkomentarzaZnak"/>
    <w:uiPriority w:val="99"/>
    <w:semiHidden/>
    <w:unhideWhenUsed/>
    <w:rsid w:val="00472369"/>
    <w:pPr>
      <w:spacing w:line="240" w:lineRule="auto"/>
    </w:pPr>
  </w:style>
  <w:style w:type="character" w:customStyle="1" w:styleId="TekstkomentarzaZnak">
    <w:name w:val="Tekst komentarza Znak"/>
    <w:basedOn w:val="Domylnaczcionkaakapitu"/>
    <w:link w:val="Tekstkomentarza"/>
    <w:uiPriority w:val="99"/>
    <w:semiHidden/>
    <w:rsid w:val="00472369"/>
    <w:rPr>
      <w:rFonts w:ascii="Calibri" w:hAnsi="Calibri"/>
      <w:sz w:val="20"/>
      <w:szCs w:val="20"/>
      <w:lang w:eastAsia="pl-PL"/>
    </w:rPr>
  </w:style>
  <w:style w:type="paragraph" w:styleId="Tematkomentarza">
    <w:name w:val="annotation subject"/>
    <w:basedOn w:val="Tekstkomentarza"/>
    <w:next w:val="Tekstkomentarza"/>
    <w:link w:val="TematkomentarzaZnak"/>
    <w:uiPriority w:val="99"/>
    <w:semiHidden/>
    <w:unhideWhenUsed/>
    <w:rsid w:val="0094451C"/>
    <w:rPr>
      <w:b/>
      <w:bCs/>
    </w:rPr>
  </w:style>
  <w:style w:type="character" w:customStyle="1" w:styleId="TematkomentarzaZnak">
    <w:name w:val="Temat komentarza Znak"/>
    <w:basedOn w:val="TekstkomentarzaZnak"/>
    <w:link w:val="Tematkomentarza"/>
    <w:uiPriority w:val="99"/>
    <w:semiHidden/>
    <w:rsid w:val="0094451C"/>
    <w:rPr>
      <w:rFonts w:ascii="Calibri" w:hAnsi="Calibri"/>
      <w:b/>
      <w:bCs/>
      <w:sz w:val="20"/>
      <w:szCs w:val="20"/>
      <w:lang w:eastAsia="pl-PL"/>
    </w:rPr>
  </w:style>
</w:styles>
</file>

<file path=word/webSettings.xml><?xml version="1.0" encoding="utf-8"?>
<w:webSettings xmlns:r="http://schemas.openxmlformats.org/officeDocument/2006/relationships" xmlns:w="http://schemas.openxmlformats.org/wordprocessingml/2006/main">
  <w:divs>
    <w:div w:id="25175895">
      <w:bodyDiv w:val="1"/>
      <w:marLeft w:val="0"/>
      <w:marRight w:val="0"/>
      <w:marTop w:val="0"/>
      <w:marBottom w:val="0"/>
      <w:divBdr>
        <w:top w:val="none" w:sz="0" w:space="0" w:color="auto"/>
        <w:left w:val="none" w:sz="0" w:space="0" w:color="auto"/>
        <w:bottom w:val="none" w:sz="0" w:space="0" w:color="auto"/>
        <w:right w:val="none" w:sz="0" w:space="0" w:color="auto"/>
      </w:divBdr>
    </w:div>
    <w:div w:id="117342025">
      <w:bodyDiv w:val="1"/>
      <w:marLeft w:val="0"/>
      <w:marRight w:val="0"/>
      <w:marTop w:val="0"/>
      <w:marBottom w:val="0"/>
      <w:divBdr>
        <w:top w:val="none" w:sz="0" w:space="0" w:color="auto"/>
        <w:left w:val="none" w:sz="0" w:space="0" w:color="auto"/>
        <w:bottom w:val="none" w:sz="0" w:space="0" w:color="auto"/>
        <w:right w:val="none" w:sz="0" w:space="0" w:color="auto"/>
      </w:divBdr>
    </w:div>
    <w:div w:id="199243448">
      <w:bodyDiv w:val="1"/>
      <w:marLeft w:val="0"/>
      <w:marRight w:val="0"/>
      <w:marTop w:val="0"/>
      <w:marBottom w:val="0"/>
      <w:divBdr>
        <w:top w:val="none" w:sz="0" w:space="0" w:color="auto"/>
        <w:left w:val="none" w:sz="0" w:space="0" w:color="auto"/>
        <w:bottom w:val="none" w:sz="0" w:space="0" w:color="auto"/>
        <w:right w:val="none" w:sz="0" w:space="0" w:color="auto"/>
      </w:divBdr>
    </w:div>
    <w:div w:id="212624193">
      <w:bodyDiv w:val="1"/>
      <w:marLeft w:val="0"/>
      <w:marRight w:val="0"/>
      <w:marTop w:val="0"/>
      <w:marBottom w:val="0"/>
      <w:divBdr>
        <w:top w:val="none" w:sz="0" w:space="0" w:color="auto"/>
        <w:left w:val="none" w:sz="0" w:space="0" w:color="auto"/>
        <w:bottom w:val="none" w:sz="0" w:space="0" w:color="auto"/>
        <w:right w:val="none" w:sz="0" w:space="0" w:color="auto"/>
      </w:divBdr>
    </w:div>
    <w:div w:id="406534008">
      <w:bodyDiv w:val="1"/>
      <w:marLeft w:val="0"/>
      <w:marRight w:val="0"/>
      <w:marTop w:val="0"/>
      <w:marBottom w:val="0"/>
      <w:divBdr>
        <w:top w:val="none" w:sz="0" w:space="0" w:color="auto"/>
        <w:left w:val="none" w:sz="0" w:space="0" w:color="auto"/>
        <w:bottom w:val="none" w:sz="0" w:space="0" w:color="auto"/>
        <w:right w:val="none" w:sz="0" w:space="0" w:color="auto"/>
      </w:divBdr>
    </w:div>
    <w:div w:id="525020096">
      <w:bodyDiv w:val="1"/>
      <w:marLeft w:val="0"/>
      <w:marRight w:val="0"/>
      <w:marTop w:val="0"/>
      <w:marBottom w:val="0"/>
      <w:divBdr>
        <w:top w:val="none" w:sz="0" w:space="0" w:color="auto"/>
        <w:left w:val="none" w:sz="0" w:space="0" w:color="auto"/>
        <w:bottom w:val="none" w:sz="0" w:space="0" w:color="auto"/>
        <w:right w:val="none" w:sz="0" w:space="0" w:color="auto"/>
      </w:divBdr>
    </w:div>
    <w:div w:id="552548433">
      <w:bodyDiv w:val="1"/>
      <w:marLeft w:val="0"/>
      <w:marRight w:val="0"/>
      <w:marTop w:val="0"/>
      <w:marBottom w:val="0"/>
      <w:divBdr>
        <w:top w:val="none" w:sz="0" w:space="0" w:color="auto"/>
        <w:left w:val="none" w:sz="0" w:space="0" w:color="auto"/>
        <w:bottom w:val="none" w:sz="0" w:space="0" w:color="auto"/>
        <w:right w:val="none" w:sz="0" w:space="0" w:color="auto"/>
      </w:divBdr>
    </w:div>
    <w:div w:id="564296621">
      <w:bodyDiv w:val="1"/>
      <w:marLeft w:val="0"/>
      <w:marRight w:val="0"/>
      <w:marTop w:val="0"/>
      <w:marBottom w:val="0"/>
      <w:divBdr>
        <w:top w:val="none" w:sz="0" w:space="0" w:color="auto"/>
        <w:left w:val="none" w:sz="0" w:space="0" w:color="auto"/>
        <w:bottom w:val="none" w:sz="0" w:space="0" w:color="auto"/>
        <w:right w:val="none" w:sz="0" w:space="0" w:color="auto"/>
      </w:divBdr>
    </w:div>
    <w:div w:id="624510524">
      <w:bodyDiv w:val="1"/>
      <w:marLeft w:val="0"/>
      <w:marRight w:val="0"/>
      <w:marTop w:val="0"/>
      <w:marBottom w:val="0"/>
      <w:divBdr>
        <w:top w:val="none" w:sz="0" w:space="0" w:color="auto"/>
        <w:left w:val="none" w:sz="0" w:space="0" w:color="auto"/>
        <w:bottom w:val="none" w:sz="0" w:space="0" w:color="auto"/>
        <w:right w:val="none" w:sz="0" w:space="0" w:color="auto"/>
      </w:divBdr>
    </w:div>
    <w:div w:id="750203898">
      <w:bodyDiv w:val="1"/>
      <w:marLeft w:val="0"/>
      <w:marRight w:val="0"/>
      <w:marTop w:val="0"/>
      <w:marBottom w:val="0"/>
      <w:divBdr>
        <w:top w:val="none" w:sz="0" w:space="0" w:color="auto"/>
        <w:left w:val="none" w:sz="0" w:space="0" w:color="auto"/>
        <w:bottom w:val="none" w:sz="0" w:space="0" w:color="auto"/>
        <w:right w:val="none" w:sz="0" w:space="0" w:color="auto"/>
      </w:divBdr>
    </w:div>
    <w:div w:id="896209204">
      <w:bodyDiv w:val="1"/>
      <w:marLeft w:val="0"/>
      <w:marRight w:val="0"/>
      <w:marTop w:val="0"/>
      <w:marBottom w:val="0"/>
      <w:divBdr>
        <w:top w:val="none" w:sz="0" w:space="0" w:color="auto"/>
        <w:left w:val="none" w:sz="0" w:space="0" w:color="auto"/>
        <w:bottom w:val="none" w:sz="0" w:space="0" w:color="auto"/>
        <w:right w:val="none" w:sz="0" w:space="0" w:color="auto"/>
      </w:divBdr>
    </w:div>
    <w:div w:id="914514748">
      <w:bodyDiv w:val="1"/>
      <w:marLeft w:val="0"/>
      <w:marRight w:val="0"/>
      <w:marTop w:val="0"/>
      <w:marBottom w:val="0"/>
      <w:divBdr>
        <w:top w:val="none" w:sz="0" w:space="0" w:color="auto"/>
        <w:left w:val="none" w:sz="0" w:space="0" w:color="auto"/>
        <w:bottom w:val="none" w:sz="0" w:space="0" w:color="auto"/>
        <w:right w:val="none" w:sz="0" w:space="0" w:color="auto"/>
      </w:divBdr>
    </w:div>
    <w:div w:id="1320573290">
      <w:bodyDiv w:val="1"/>
      <w:marLeft w:val="0"/>
      <w:marRight w:val="0"/>
      <w:marTop w:val="0"/>
      <w:marBottom w:val="0"/>
      <w:divBdr>
        <w:top w:val="none" w:sz="0" w:space="0" w:color="auto"/>
        <w:left w:val="none" w:sz="0" w:space="0" w:color="auto"/>
        <w:bottom w:val="none" w:sz="0" w:space="0" w:color="auto"/>
        <w:right w:val="none" w:sz="0" w:space="0" w:color="auto"/>
      </w:divBdr>
    </w:div>
    <w:div w:id="1365055008">
      <w:bodyDiv w:val="1"/>
      <w:marLeft w:val="0"/>
      <w:marRight w:val="0"/>
      <w:marTop w:val="0"/>
      <w:marBottom w:val="0"/>
      <w:divBdr>
        <w:top w:val="none" w:sz="0" w:space="0" w:color="auto"/>
        <w:left w:val="none" w:sz="0" w:space="0" w:color="auto"/>
        <w:bottom w:val="none" w:sz="0" w:space="0" w:color="auto"/>
        <w:right w:val="none" w:sz="0" w:space="0" w:color="auto"/>
      </w:divBdr>
    </w:div>
    <w:div w:id="1887721970">
      <w:bodyDiv w:val="1"/>
      <w:marLeft w:val="0"/>
      <w:marRight w:val="0"/>
      <w:marTop w:val="0"/>
      <w:marBottom w:val="0"/>
      <w:divBdr>
        <w:top w:val="none" w:sz="0" w:space="0" w:color="auto"/>
        <w:left w:val="none" w:sz="0" w:space="0" w:color="auto"/>
        <w:bottom w:val="none" w:sz="0" w:space="0" w:color="auto"/>
        <w:right w:val="none" w:sz="0" w:space="0" w:color="auto"/>
      </w:divBdr>
    </w:div>
    <w:div w:id="1891921193">
      <w:bodyDiv w:val="1"/>
      <w:marLeft w:val="0"/>
      <w:marRight w:val="0"/>
      <w:marTop w:val="0"/>
      <w:marBottom w:val="0"/>
      <w:divBdr>
        <w:top w:val="none" w:sz="0" w:space="0" w:color="auto"/>
        <w:left w:val="none" w:sz="0" w:space="0" w:color="auto"/>
        <w:bottom w:val="none" w:sz="0" w:space="0" w:color="auto"/>
        <w:right w:val="none" w:sz="0" w:space="0" w:color="auto"/>
      </w:divBdr>
    </w:div>
    <w:div w:id="1918519188">
      <w:bodyDiv w:val="1"/>
      <w:marLeft w:val="0"/>
      <w:marRight w:val="0"/>
      <w:marTop w:val="0"/>
      <w:marBottom w:val="0"/>
      <w:divBdr>
        <w:top w:val="none" w:sz="0" w:space="0" w:color="auto"/>
        <w:left w:val="none" w:sz="0" w:space="0" w:color="auto"/>
        <w:bottom w:val="none" w:sz="0" w:space="0" w:color="auto"/>
        <w:right w:val="none" w:sz="0" w:space="0" w:color="auto"/>
      </w:divBdr>
    </w:div>
    <w:div w:id="2099012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oleObject" Target="file:///M:\ANIA\Strategia%20LGR\dane%20z%20GUS\rynek%20pracy\Podmioty%20wg%20sektor&#243;w%20w&#322;asno&#347;ciowych_2007-2013.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M:\ANIA\Strategia%20LGR\dane\Dane_MIR_17.12.201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pl-PL"/>
  <c:style val="6"/>
  <c:chart>
    <c:plotArea>
      <c:layout/>
      <c:barChart>
        <c:barDir val="bar"/>
        <c:grouping val="clustered"/>
        <c:ser>
          <c:idx val="0"/>
          <c:order val="0"/>
          <c:dPt>
            <c:idx val="3"/>
            <c:spPr>
              <a:solidFill>
                <a:srgbClr val="FF0000"/>
              </a:solidFill>
              <a:ln>
                <a:solidFill>
                  <a:srgbClr val="FF0000"/>
                </a:solidFill>
              </a:ln>
            </c:spPr>
          </c:dPt>
          <c:dPt>
            <c:idx val="4"/>
            <c:spPr>
              <a:solidFill>
                <a:srgbClr val="0070C0"/>
              </a:solidFill>
              <a:ln>
                <a:solidFill>
                  <a:schemeClr val="accent1"/>
                </a:solidFill>
              </a:ln>
            </c:spPr>
          </c:dPt>
          <c:dPt>
            <c:idx val="6"/>
            <c:spPr>
              <a:solidFill>
                <a:srgbClr val="00B050"/>
              </a:solidFill>
              <a:ln>
                <a:solidFill>
                  <a:srgbClr val="00B050"/>
                </a:solidFill>
              </a:ln>
            </c:spPr>
          </c:dPt>
          <c:dLbls>
            <c:showVal val="1"/>
          </c:dLbls>
          <c:cat>
            <c:strRef>
              <c:f>DATA!$B$47:$B$57</c:f>
              <c:strCache>
                <c:ptCount val="11"/>
                <c:pt idx="0">
                  <c:v>Puck</c:v>
                </c:pt>
                <c:pt idx="1">
                  <c:v>Krokowa </c:v>
                </c:pt>
                <c:pt idx="2">
                  <c:v>Wejherowo </c:v>
                </c:pt>
                <c:pt idx="3">
                  <c:v>POLSKA</c:v>
                </c:pt>
                <c:pt idx="4">
                  <c:v> POMORSKIE</c:v>
                </c:pt>
                <c:pt idx="5">
                  <c:v>Puck (m)</c:v>
                </c:pt>
                <c:pt idx="6">
                  <c:v>PLGR</c:v>
                </c:pt>
                <c:pt idx="7">
                  <c:v>Kosakowo </c:v>
                </c:pt>
                <c:pt idx="8">
                  <c:v>Hel (m)</c:v>
                </c:pt>
                <c:pt idx="9">
                  <c:v>Władysławowo (m)</c:v>
                </c:pt>
                <c:pt idx="10">
                  <c:v>Jastarnia (m)</c:v>
                </c:pt>
              </c:strCache>
            </c:strRef>
          </c:cat>
          <c:val>
            <c:numRef>
              <c:f>DATA!$C$47:$C$57</c:f>
              <c:numCache>
                <c:formatCode>0.0</c:formatCode>
                <c:ptCount val="11"/>
                <c:pt idx="0">
                  <c:v>785.51307847082512</c:v>
                </c:pt>
                <c:pt idx="1">
                  <c:v>957.96584725089156</c:v>
                </c:pt>
                <c:pt idx="2">
                  <c:v>1035.6352272234033</c:v>
                </c:pt>
                <c:pt idx="3">
                  <c:v>1057.3293471869126</c:v>
                </c:pt>
                <c:pt idx="4">
                  <c:v>1183.8256720609845</c:v>
                </c:pt>
                <c:pt idx="5">
                  <c:v>1221.4812214812221</c:v>
                </c:pt>
                <c:pt idx="6">
                  <c:v>1302.3242478688014</c:v>
                </c:pt>
                <c:pt idx="7">
                  <c:v>1423.7086205429325</c:v>
                </c:pt>
                <c:pt idx="8">
                  <c:v>1706.6521264994542</c:v>
                </c:pt>
                <c:pt idx="9">
                  <c:v>2234.4155844155853</c:v>
                </c:pt>
                <c:pt idx="10">
                  <c:v>2932.36964377904</c:v>
                </c:pt>
              </c:numCache>
            </c:numRef>
          </c:val>
        </c:ser>
        <c:axId val="82114048"/>
        <c:axId val="82115584"/>
      </c:barChart>
      <c:catAx>
        <c:axId val="82114048"/>
        <c:scaling>
          <c:orientation val="minMax"/>
        </c:scaling>
        <c:axPos val="l"/>
        <c:tickLblPos val="nextTo"/>
        <c:crossAx val="82115584"/>
        <c:crosses val="autoZero"/>
        <c:auto val="1"/>
        <c:lblAlgn val="ctr"/>
        <c:lblOffset val="100"/>
      </c:catAx>
      <c:valAx>
        <c:axId val="82115584"/>
        <c:scaling>
          <c:orientation val="minMax"/>
        </c:scaling>
        <c:axPos val="b"/>
        <c:majorGridlines/>
        <c:numFmt formatCode="General" sourceLinked="0"/>
        <c:tickLblPos val="nextTo"/>
        <c:crossAx val="82114048"/>
        <c:crosses val="autoZero"/>
        <c:crossBetween val="between"/>
      </c:valAx>
    </c:plotArea>
    <c:plotVisOnly val="1"/>
    <c:dispBlanksAs val="gap"/>
  </c:chart>
  <c:txPr>
    <a:bodyPr/>
    <a:lstStyle/>
    <a:p>
      <a:pPr>
        <a:defRPr sz="1000">
          <a:latin typeface="Garamond" pitchFamily="18" charset="0"/>
        </a:defRPr>
      </a:pPr>
      <a:endParaRPr lang="pl-PL"/>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pl-PL"/>
  <c:chart>
    <c:plotArea>
      <c:layout/>
      <c:barChart>
        <c:barDir val="col"/>
        <c:grouping val="stacked"/>
        <c:ser>
          <c:idx val="0"/>
          <c:order val="0"/>
          <c:tx>
            <c:strRef>
              <c:f>'Łodzie rybackie'!$N$4</c:f>
              <c:strCache>
                <c:ptCount val="1"/>
                <c:pt idx="0">
                  <c:v>motorowe</c:v>
                </c:pt>
              </c:strCache>
            </c:strRef>
          </c:tx>
          <c:spPr>
            <a:solidFill>
              <a:srgbClr val="0070C0"/>
            </a:solidFill>
            <a:ln>
              <a:solidFill>
                <a:srgbClr val="0070C0"/>
              </a:solidFill>
            </a:ln>
          </c:spPr>
          <c:dLbls>
            <c:showVal val="1"/>
          </c:dLbls>
          <c:cat>
            <c:strRef>
              <c:f>'Łodzie rybackie'!$A$5:$A$15</c:f>
              <c:strCache>
                <c:ptCount val="11"/>
                <c:pt idx="0">
                  <c:v>Chałupy</c:v>
                </c:pt>
                <c:pt idx="1">
                  <c:v>Chłapowo</c:v>
                </c:pt>
                <c:pt idx="2">
                  <c:v>Dębki</c:v>
                </c:pt>
                <c:pt idx="3">
                  <c:v>Hel</c:v>
                </c:pt>
                <c:pt idx="4">
                  <c:v>Jastarnia</c:v>
                </c:pt>
                <c:pt idx="5">
                  <c:v>Kuźnica</c:v>
                </c:pt>
                <c:pt idx="6">
                  <c:v>Mechelinki</c:v>
                </c:pt>
                <c:pt idx="7">
                  <c:v>Puck</c:v>
                </c:pt>
                <c:pt idx="8">
                  <c:v>Rewa</c:v>
                </c:pt>
                <c:pt idx="9">
                  <c:v>Swarzewo</c:v>
                </c:pt>
                <c:pt idx="10">
                  <c:v>Władysławowo</c:v>
                </c:pt>
              </c:strCache>
            </c:strRef>
          </c:cat>
          <c:val>
            <c:numRef>
              <c:f>'Łodzie rybackie'!$N$5:$N$15</c:f>
              <c:numCache>
                <c:formatCode>General</c:formatCode>
                <c:ptCount val="11"/>
                <c:pt idx="0">
                  <c:v>2</c:v>
                </c:pt>
                <c:pt idx="1">
                  <c:v>2</c:v>
                </c:pt>
                <c:pt idx="2">
                  <c:v>5</c:v>
                </c:pt>
                <c:pt idx="3">
                  <c:v>9</c:v>
                </c:pt>
                <c:pt idx="4">
                  <c:v>30</c:v>
                </c:pt>
                <c:pt idx="5">
                  <c:v>28</c:v>
                </c:pt>
                <c:pt idx="6">
                  <c:v>8</c:v>
                </c:pt>
                <c:pt idx="7">
                  <c:v>3</c:v>
                </c:pt>
                <c:pt idx="8">
                  <c:v>3</c:v>
                </c:pt>
                <c:pt idx="9">
                  <c:v>6</c:v>
                </c:pt>
                <c:pt idx="10">
                  <c:v>21</c:v>
                </c:pt>
              </c:numCache>
            </c:numRef>
          </c:val>
        </c:ser>
        <c:ser>
          <c:idx val="1"/>
          <c:order val="1"/>
          <c:tx>
            <c:strRef>
              <c:f>'Łodzie rybackie'!$O$4</c:f>
              <c:strCache>
                <c:ptCount val="1"/>
                <c:pt idx="0">
                  <c:v>wiosłowe</c:v>
                </c:pt>
              </c:strCache>
            </c:strRef>
          </c:tx>
          <c:spPr>
            <a:solidFill>
              <a:schemeClr val="accent6">
                <a:lumMod val="75000"/>
              </a:schemeClr>
            </a:solidFill>
            <a:ln>
              <a:solidFill>
                <a:schemeClr val="accent6">
                  <a:lumMod val="75000"/>
                </a:schemeClr>
              </a:solidFill>
            </a:ln>
          </c:spPr>
          <c:dLbls>
            <c:showVal val="1"/>
          </c:dLbls>
          <c:cat>
            <c:strRef>
              <c:f>'Łodzie rybackie'!$A$5:$A$15</c:f>
              <c:strCache>
                <c:ptCount val="11"/>
                <c:pt idx="0">
                  <c:v>Chałupy</c:v>
                </c:pt>
                <c:pt idx="1">
                  <c:v>Chłapowo</c:v>
                </c:pt>
                <c:pt idx="2">
                  <c:v>Dębki</c:v>
                </c:pt>
                <c:pt idx="3">
                  <c:v>Hel</c:v>
                </c:pt>
                <c:pt idx="4">
                  <c:v>Jastarnia</c:v>
                </c:pt>
                <c:pt idx="5">
                  <c:v>Kuźnica</c:v>
                </c:pt>
                <c:pt idx="6">
                  <c:v>Mechelinki</c:v>
                </c:pt>
                <c:pt idx="7">
                  <c:v>Puck</c:v>
                </c:pt>
                <c:pt idx="8">
                  <c:v>Rewa</c:v>
                </c:pt>
                <c:pt idx="9">
                  <c:v>Swarzewo</c:v>
                </c:pt>
                <c:pt idx="10">
                  <c:v>Władysławowo</c:v>
                </c:pt>
              </c:strCache>
            </c:strRef>
          </c:cat>
          <c:val>
            <c:numRef>
              <c:f>'Łodzie rybackie'!$O$5:$O$15</c:f>
              <c:numCache>
                <c:formatCode>General</c:formatCode>
                <c:ptCount val="11"/>
                <c:pt idx="0">
                  <c:v>6</c:v>
                </c:pt>
                <c:pt idx="1">
                  <c:v>2</c:v>
                </c:pt>
                <c:pt idx="3">
                  <c:v>3</c:v>
                </c:pt>
                <c:pt idx="4">
                  <c:v>6</c:v>
                </c:pt>
                <c:pt idx="5">
                  <c:v>13</c:v>
                </c:pt>
                <c:pt idx="7">
                  <c:v>1</c:v>
                </c:pt>
                <c:pt idx="10">
                  <c:v>2</c:v>
                </c:pt>
              </c:numCache>
            </c:numRef>
          </c:val>
        </c:ser>
        <c:overlap val="100"/>
        <c:axId val="95444352"/>
        <c:axId val="95466624"/>
      </c:barChart>
      <c:catAx>
        <c:axId val="95444352"/>
        <c:scaling>
          <c:orientation val="minMax"/>
        </c:scaling>
        <c:axPos val="b"/>
        <c:tickLblPos val="nextTo"/>
        <c:crossAx val="95466624"/>
        <c:crosses val="autoZero"/>
        <c:auto val="1"/>
        <c:lblAlgn val="ctr"/>
        <c:lblOffset val="100"/>
      </c:catAx>
      <c:valAx>
        <c:axId val="95466624"/>
        <c:scaling>
          <c:orientation val="minMax"/>
        </c:scaling>
        <c:axPos val="l"/>
        <c:majorGridlines/>
        <c:numFmt formatCode="General" sourceLinked="1"/>
        <c:tickLblPos val="nextTo"/>
        <c:crossAx val="95444352"/>
        <c:crosses val="autoZero"/>
        <c:crossBetween val="between"/>
      </c:valAx>
    </c:plotArea>
    <c:legend>
      <c:legendPos val="b"/>
    </c:legend>
    <c:plotVisOnly val="1"/>
    <c:dispBlanksAs val="gap"/>
  </c:chart>
  <c:txPr>
    <a:bodyPr/>
    <a:lstStyle/>
    <a:p>
      <a:pPr>
        <a:defRPr sz="900">
          <a:latin typeface="Garamond" pitchFamily="18" charset="0"/>
        </a:defRPr>
      </a:pPr>
      <a:endParaRPr lang="pl-PL"/>
    </a:p>
  </c:txPr>
  <c:externalData r:id="rId1"/>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4934E6-C387-4335-83E8-F1DCB50A1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6472</Words>
  <Characters>38834</Characters>
  <Application>Microsoft Office Word</Application>
  <DocSecurity>0</DocSecurity>
  <Lines>323</Lines>
  <Paragraphs>90</Paragraphs>
  <ScaleCrop>false</ScaleCrop>
  <HeadingPairs>
    <vt:vector size="2" baseType="variant">
      <vt:variant>
        <vt:lpstr>Tytuł</vt:lpstr>
      </vt:variant>
      <vt:variant>
        <vt:i4>1</vt:i4>
      </vt:variant>
    </vt:vector>
  </HeadingPairs>
  <TitlesOfParts>
    <vt:vector size="1" baseType="lpstr">
      <vt:lpstr/>
    </vt:vector>
  </TitlesOfParts>
  <Company>UMWP</Company>
  <LinksUpToDate>false</LinksUpToDate>
  <CharactersWithSpaces>45216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Ania</dc:creator>
  <cp:lastModifiedBy>zsepinska</cp:lastModifiedBy>
  <cp:revision>2</cp:revision>
  <dcterms:created xsi:type="dcterms:W3CDTF">2015-01-14T10:39:00Z</dcterms:created>
  <dcterms:modified xsi:type="dcterms:W3CDTF">2015-01-14T10:39:00Z</dcterms:modified>
</cp:coreProperties>
</file>